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5"/>
        <w:spacing w:line="580" w:lineRule="exact"/>
        <w:jc w:val="center"/>
        <w:rPr>
          <w:rFonts w:eastAsia="方正小标宋_GBK" w:cs="方正小标宋_GBK"/>
          <w:sz w:val="44"/>
          <w:szCs w:val="44"/>
        </w:rPr>
      </w:pPr>
      <w:bookmarkStart w:id="0" w:name="_Hlk25540369"/>
      <w:bookmarkStart w:id="1" w:name="cogw__正文__file"/>
      <w:r>
        <w:rPr>
          <w:rFonts w:eastAsia="方正小标宋_GBK" w:cs="方正小标宋_GBK" w:hint="eastAsia"/>
          <w:sz w:val="44"/>
          <w:szCs w:val="44"/>
        </w:rPr>
        <w:t>长沙海关</w:t>
      </w:r>
      <w:r>
        <w:rPr>
          <w:rFonts w:eastAsia="方正小标宋_GBK" w:cs="方正小标宋_GBK"/>
          <w:sz w:val="44"/>
          <w:szCs w:val="44"/>
        </w:rPr>
        <w:t>（本级机关）</w:t>
      </w:r>
      <w:r>
        <w:rPr>
          <w:rFonts w:eastAsia="方正小标宋_GBK" w:cs="方正小标宋_GBK" w:hint="eastAsia"/>
          <w:sz w:val="44"/>
          <w:szCs w:val="44"/>
        </w:rPr>
        <w:t>2022年政府信息公开</w:t>
      </w:r>
    </w:p>
    <w:p>
      <w:pPr>
        <w:pStyle w:val="45"/>
        <w:spacing w:line="580" w:lineRule="exact"/>
        <w:jc w:val="center"/>
        <w:rPr>
          <w:rFonts w:eastAsia="方正小标宋_GBK" w:cs="方正小标宋_GBK"/>
          <w:sz w:val="44"/>
          <w:szCs w:val="44"/>
        </w:rPr>
      </w:pPr>
      <w:r>
        <w:rPr>
          <w:rFonts w:eastAsia="方正小标宋_GBK" w:cs="方正小标宋_GBK" w:hint="eastAsia"/>
          <w:sz w:val="44"/>
          <w:szCs w:val="44"/>
        </w:rPr>
        <w:t>工作年度报告</w:t>
      </w:r>
      <w:bookmarkEnd w:id="0"/>
    </w:p>
    <w:p>
      <w:pPr>
        <w:pStyle w:val="31"/>
        <w:widowControl/>
        <w:shd w:val="clear" w:color="auto" w:fill="FFFFFF"/>
        <w:adjustRightInd w:val="0"/>
        <w:snapToGrid w:val="0"/>
        <w:spacing w:beforeAutospacing="0" w:afterAutospacing="0" w:line="560" w:lineRule="exact"/>
        <w:jc w:val="both"/>
        <w:rPr>
          <w:rFonts w:eastAsia="楷体_GB2312" w:cs="楷体_GB2312"/>
          <w:bCs/>
          <w:sz w:val="32"/>
          <w:szCs w:val="32"/>
          <w:shd w:val="clear" w:color="auto" w:fill="FFFFFF"/>
        </w:rPr>
      </w:pPr>
    </w:p>
    <w:p>
      <w:pPr>
        <w:pStyle w:val="31"/>
        <w:widowControl/>
        <w:shd w:val="clear" w:color="auto" w:fill="FFFFFF"/>
        <w:adjustRightInd w:val="0"/>
        <w:snapToGrid w:val="0"/>
        <w:spacing w:beforeAutospacing="0" w:afterAutospacing="0" w:line="560" w:lineRule="exact"/>
        <w:ind w:firstLineChars="200" w:firstLine="640"/>
        <w:jc w:val="both"/>
        <w:rPr>
          <w:rFonts w:eastAsia="方正黑体_GBK" w:cs="楷体_GB2312"/>
          <w:bCs/>
          <w:sz w:val="32"/>
          <w:szCs w:val="32"/>
        </w:rPr>
      </w:pPr>
      <w:r>
        <w:rPr>
          <w:rFonts w:eastAsia="方正黑体_GBK" w:cs="楷体_GB2312" w:hint="eastAsia"/>
          <w:bCs/>
          <w:sz w:val="32"/>
          <w:szCs w:val="32"/>
          <w:shd w:val="clear" w:color="auto" w:fill="FFFFFF"/>
        </w:rPr>
        <w:t>一、总体情况</w:t>
      </w:r>
    </w:p>
    <w:p>
      <w:pPr>
        <w:pStyle w:val="84"/>
        <w:spacing w:line="560" w:lineRule="exact"/>
        <w:ind w:firstLineChars="200" w:firstLine="640"/>
        <w:rPr>
          <w:rFonts w:ascii="Times New Roman" w:eastAsia="方正仿宋_GBK" w:cs="宋体" w:hAnsi="Times New Roman" w:hint="eastAsia"/>
          <w:color w:val="333333"/>
          <w:kern w:val="0"/>
          <w:sz w:val="32"/>
          <w:szCs w:val="32"/>
        </w:rPr>
      </w:pPr>
      <w:r>
        <w:rPr>
          <w:rFonts w:ascii="Times New Roman" w:eastAsia="方正仿宋_GBK" w:cs="宋体" w:hAnsi="Times New Roman" w:hint="eastAsia"/>
          <w:color w:val="333333"/>
          <w:kern w:val="0"/>
          <w:sz w:val="32"/>
          <w:szCs w:val="32"/>
        </w:rPr>
        <w:t>2022年，长沙海关坚持以习近平新时代中国特色社会主义思想为指导，认真贯彻《中华人民共和国政府信息公开条例》，按照《202</w:t>
      </w:r>
      <w:r>
        <w:rPr>
          <w:rFonts w:ascii="Times New Roman" w:eastAsia="方正仿宋_GBK" w:cs="宋体" w:hAnsi="Times New Roman"/>
          <w:color w:val="333333"/>
          <w:kern w:val="0"/>
          <w:sz w:val="32"/>
          <w:szCs w:val="32"/>
        </w:rPr>
        <w:t>2</w:t>
      </w:r>
      <w:r>
        <w:rPr>
          <w:rFonts w:ascii="Times New Roman" w:eastAsia="方正仿宋_GBK" w:cs="宋体" w:hAnsi="Times New Roman" w:hint="eastAsia"/>
          <w:color w:val="333333"/>
          <w:kern w:val="0"/>
          <w:sz w:val="32"/>
          <w:szCs w:val="32"/>
        </w:rPr>
        <w:t>年海关政务公开工作要点》的部署要求</w:t>
      </w:r>
      <w:r>
        <w:rPr>
          <w:rFonts w:ascii="Times New Roman" w:eastAsia="方正仿宋_GBK" w:cs="宋体" w:hAnsi="Times New Roman"/>
          <w:color w:val="333333"/>
          <w:kern w:val="0"/>
          <w:sz w:val="32"/>
          <w:szCs w:val="32"/>
        </w:rPr>
        <w:t>，细化措施、明确分工，扎实</w:t>
      </w:r>
      <w:r>
        <w:rPr>
          <w:rFonts w:ascii="Times New Roman" w:eastAsia="方正仿宋_GBK" w:cs="宋体" w:hAnsi="Times New Roman" w:hint="eastAsia"/>
          <w:color w:val="333333"/>
          <w:kern w:val="0"/>
          <w:sz w:val="32"/>
          <w:szCs w:val="32"/>
        </w:rPr>
        <w:t>开展政府信息公开工作。本年度主要情况如下：</w:t>
      </w:r>
    </w:p>
    <w:p>
      <w:pPr>
        <w:pStyle w:val="84"/>
        <w:spacing w:line="560" w:lineRule="exact"/>
        <w:ind w:firstLineChars="200" w:firstLine="640"/>
        <w:rPr>
          <w:rFonts w:ascii="Times New Roman" w:eastAsia="方正仿宋_GBK" w:cs="宋体" w:hAnsi="Times New Roman" w:hint="eastAsia"/>
          <w:bCs/>
          <w:color w:val="333333"/>
          <w:kern w:val="0"/>
          <w:sz w:val="32"/>
          <w:szCs w:val="32"/>
          <w:lang w:val="en-US" w:eastAsia="zh-CN"/>
        </w:rPr>
      </w:pPr>
      <w:r>
        <w:rPr>
          <w:rFonts w:ascii="Times New Roman" w:eastAsia="方正楷体_GBK" w:cs="宋体" w:hAnsi="Times New Roman"/>
          <w:b/>
          <w:bCs/>
          <w:color w:val="333333"/>
          <w:kern w:val="0"/>
          <w:sz w:val="32"/>
          <w:szCs w:val="32"/>
        </w:rPr>
        <w:t>（一）持续深化主动公开。</w:t>
      </w:r>
      <w:r>
        <w:rPr>
          <w:rFonts w:ascii="Times New Roman" w:eastAsia="方正仿宋_GBK" w:cs="宋体" w:hAnsi="Times New Roman" w:hint="eastAsia"/>
          <w:color w:val="333333"/>
          <w:kern w:val="0"/>
          <w:sz w:val="32"/>
          <w:szCs w:val="32"/>
        </w:rPr>
        <w:t>紧扣“六稳”“六保”、疫情防控、贸易便利化等企业群众关心的内容，积极主动做好海关政务信息公开和政策宣贯。</w:t>
      </w:r>
      <w:r>
        <w:rPr>
          <w:rFonts w:ascii="Times New Roman" w:eastAsia="方正仿宋_GBK" w:cs="宋体" w:hAnsi="Times New Roman" w:hint="eastAsia"/>
          <w:bCs/>
          <w:color w:val="333333"/>
          <w:kern w:val="0"/>
          <w:sz w:val="32"/>
          <w:szCs w:val="32"/>
          <w:lang w:val="en-US" w:eastAsia="zh-CN"/>
        </w:rPr>
        <w:t>召开新闻发布会4次，其中</w:t>
      </w:r>
      <w:r>
        <w:rPr>
          <w:rFonts w:ascii="Times New Roman" w:eastAsia="方正仿宋_GBK" w:cs="宋体" w:hAnsi="Times New Roman"/>
          <w:bCs/>
          <w:color w:val="333333"/>
          <w:kern w:val="0"/>
          <w:sz w:val="32"/>
          <w:szCs w:val="32"/>
          <w:lang w:val="en-US" w:eastAsia="zh-CN"/>
        </w:rPr>
        <w:t>湖南</w:t>
      </w:r>
      <w:r>
        <w:rPr>
          <w:rFonts w:ascii="Times New Roman" w:eastAsia="方正仿宋_GBK" w:cs="宋体" w:hAnsi="Times New Roman" w:hint="eastAsia"/>
          <w:bCs/>
          <w:color w:val="333333"/>
          <w:kern w:val="0"/>
          <w:sz w:val="32"/>
          <w:szCs w:val="32"/>
          <w:lang w:val="en-US" w:eastAsia="zh-CN"/>
        </w:rPr>
        <w:t>省政府新闻办举行的专场新闻发布会2次，围绕“非凡十年”等选题，加强策划、精心</w:t>
      </w:r>
      <w:r>
        <w:rPr>
          <w:rFonts w:ascii="Times New Roman" w:eastAsia="方正仿宋_GBK" w:cs="宋体" w:hAnsi="Times New Roman"/>
          <w:bCs/>
          <w:color w:val="333333"/>
          <w:kern w:val="0"/>
          <w:sz w:val="32"/>
          <w:szCs w:val="32"/>
          <w:lang w:val="en-US" w:eastAsia="zh-CN"/>
        </w:rPr>
        <w:t>组织</w:t>
      </w:r>
      <w:r>
        <w:rPr>
          <w:rFonts w:ascii="Times New Roman" w:eastAsia="方正仿宋_GBK" w:cs="宋体" w:hAnsi="Times New Roman" w:hint="eastAsia"/>
          <w:color w:val="333333"/>
          <w:kern w:val="0"/>
          <w:sz w:val="32"/>
          <w:szCs w:val="32"/>
        </w:rPr>
        <w:t>。开展“关长接待日”活动，举办隶属海关关长在线访谈8期，</w:t>
      </w:r>
      <w:r>
        <w:rPr>
          <w:rFonts w:ascii="Times New Roman" w:eastAsia="方正仿宋_GBK" w:cs="宋体" w:hAnsi="Times New Roman" w:hint="eastAsia"/>
          <w:bCs/>
          <w:color w:val="333333"/>
          <w:kern w:val="0"/>
          <w:sz w:val="32"/>
          <w:szCs w:val="32"/>
          <w:lang w:val="en-US" w:eastAsia="zh-CN"/>
        </w:rPr>
        <w:t>成为湖南省“政务公开主题日”优秀案例，并获湖南省政府网站推介，取得较好的社会效果。</w:t>
      </w:r>
    </w:p>
    <w:p>
      <w:pPr>
        <w:pStyle w:val="84"/>
        <w:spacing w:line="560" w:lineRule="exact"/>
        <w:ind w:firstLineChars="200" w:firstLine="640"/>
        <w:rPr>
          <w:rFonts w:ascii="Times New Roman" w:eastAsia="方正仿宋_GBK" w:hAnsi="Times New Roman" w:hint="eastAsia"/>
          <w:bCs/>
          <w:sz w:val="32"/>
          <w:szCs w:val="32"/>
        </w:rPr>
      </w:pPr>
      <w:r>
        <w:rPr>
          <w:rFonts w:ascii="Times New Roman" w:eastAsia="方正楷体_GBK" w:cs="宋体" w:hAnsi="Times New Roman" w:hint="eastAsia"/>
          <w:b/>
          <w:bCs/>
          <w:color w:val="333333"/>
          <w:kern w:val="0"/>
          <w:sz w:val="32"/>
          <w:szCs w:val="32"/>
        </w:rPr>
        <w:t>（</w:t>
      </w:r>
      <w:r>
        <w:rPr>
          <w:rFonts w:ascii="Times New Roman" w:eastAsia="方正楷体_GBK" w:cs="宋体" w:hAnsi="Times New Roman"/>
          <w:b/>
          <w:bCs/>
          <w:color w:val="333333"/>
          <w:kern w:val="0"/>
          <w:sz w:val="32"/>
          <w:szCs w:val="32"/>
        </w:rPr>
        <w:t>二</w:t>
      </w:r>
      <w:r>
        <w:rPr>
          <w:rFonts w:ascii="Times New Roman" w:eastAsia="方正楷体_GBK" w:cs="宋体" w:hAnsi="Times New Roman" w:hint="eastAsia"/>
          <w:b/>
          <w:bCs/>
          <w:color w:val="333333"/>
          <w:kern w:val="0"/>
          <w:sz w:val="32"/>
          <w:szCs w:val="32"/>
        </w:rPr>
        <w:t>）</w:t>
      </w:r>
      <w:r>
        <w:rPr>
          <w:rFonts w:ascii="Times New Roman" w:eastAsia="方正楷体_GBK" w:cs="宋体" w:hAnsi="Times New Roman"/>
          <w:b/>
          <w:bCs/>
          <w:color w:val="333333"/>
          <w:kern w:val="0"/>
          <w:sz w:val="32"/>
          <w:szCs w:val="32"/>
        </w:rPr>
        <w:t>着力强化</w:t>
      </w:r>
      <w:r>
        <w:rPr>
          <w:rFonts w:ascii="Times New Roman" w:eastAsia="方正楷体_GBK" w:cs="宋体" w:hAnsi="Times New Roman" w:hint="eastAsia"/>
          <w:b/>
          <w:bCs/>
          <w:color w:val="333333"/>
          <w:kern w:val="0"/>
          <w:sz w:val="32"/>
          <w:szCs w:val="32"/>
        </w:rPr>
        <w:t>公开平台。</w:t>
      </w:r>
      <w:r>
        <w:rPr>
          <w:rFonts w:ascii="Times New Roman" w:eastAsia="方正仿宋_GBK" w:cs="宋体" w:hAnsi="Times New Roman" w:hint="eastAsia"/>
          <w:color w:val="333333"/>
          <w:kern w:val="0"/>
          <w:sz w:val="32"/>
          <w:szCs w:val="32"/>
        </w:rPr>
        <w:t>制定实施2022年门户网站建设发展9项措施，成功争取全国海关首批子网站适老化无障碍技术改造试点。增设“数说海关”“小珂说法”等个性化服务专栏，在我关门户网站打造RCEP线上场景式服务，并被总署</w:t>
      </w:r>
      <w:r>
        <w:rPr>
          <w:rFonts w:ascii="Times New Roman" w:eastAsia="方正仿宋_GBK" w:cs="宋体" w:hAnsi="Times New Roman"/>
          <w:color w:val="333333"/>
          <w:kern w:val="0"/>
          <w:sz w:val="32"/>
          <w:szCs w:val="32"/>
        </w:rPr>
        <w:t>网站采用</w:t>
      </w:r>
      <w:r>
        <w:rPr>
          <w:rFonts w:ascii="Times New Roman" w:eastAsia="方正仿宋_GBK" w:cs="宋体" w:hAnsi="Times New Roman" w:hint="eastAsia"/>
          <w:color w:val="333333"/>
          <w:kern w:val="0"/>
          <w:sz w:val="32"/>
          <w:szCs w:val="32"/>
        </w:rPr>
        <w:t>。建立每日读网、每</w:t>
      </w:r>
      <w:r>
        <w:rPr>
          <w:rFonts w:ascii="Times New Roman" w:eastAsia="方正仿宋_GBK" w:cs="宋体" w:hAnsi="Times New Roman"/>
          <w:color w:val="333333"/>
          <w:kern w:val="0"/>
          <w:sz w:val="32"/>
          <w:szCs w:val="32"/>
        </w:rPr>
        <w:t>季度网站信息彻查机制，清查存量信息4300余条，整改问题13个。</w:t>
      </w:r>
      <w:r>
        <w:rPr>
          <w:rFonts w:ascii="Times New Roman" w:eastAsia="方正仿宋_GBK" w:cs="宋体" w:hAnsi="Times New Roman" w:hint="eastAsia"/>
          <w:color w:val="333333"/>
          <w:kern w:val="0"/>
          <w:sz w:val="32"/>
          <w:szCs w:val="32"/>
        </w:rPr>
        <w:t>进一步优化</w:t>
      </w:r>
      <w:r>
        <w:rPr>
          <w:rFonts w:ascii="Times New Roman" w:eastAsia="方正仿宋_GBK" w:cs="宋体" w:hAnsi="Times New Roman"/>
          <w:color w:val="333333"/>
          <w:kern w:val="0"/>
          <w:sz w:val="32"/>
          <w:szCs w:val="32"/>
        </w:rPr>
        <w:t>长沙海关</w:t>
      </w:r>
      <w:r>
        <w:rPr>
          <w:rFonts w:ascii="Times New Roman" w:eastAsia="方正仿宋_GBK" w:cs="宋体" w:hAnsi="Times New Roman" w:hint="eastAsia"/>
          <w:color w:val="333333"/>
          <w:kern w:val="0"/>
          <w:sz w:val="32"/>
          <w:szCs w:val="32"/>
        </w:rPr>
        <w:t>12360微信公众号智能客服，为业务现场增配政务公开智能终端</w:t>
      </w:r>
      <w:r>
        <w:rPr>
          <w:rFonts w:ascii="Times New Roman" w:eastAsia="方正仿宋_GBK" w:cs="宋体" w:hAnsi="Times New Roman"/>
          <w:color w:val="333333"/>
          <w:kern w:val="0"/>
          <w:sz w:val="32"/>
          <w:szCs w:val="32"/>
        </w:rPr>
        <w:t>；持续</w:t>
      </w:r>
      <w:r>
        <w:rPr>
          <w:rFonts w:ascii="Times New Roman" w:eastAsia="方正仿宋_GBK" w:cs="Times New Roman" w:hAnsi="Times New Roman" w:hint="eastAsia"/>
          <w:bCs/>
          <w:kern w:val="2"/>
          <w:sz w:val="32"/>
          <w:szCs w:val="32"/>
          <w:lang w:val="en-US" w:eastAsia="zh-CN"/>
        </w:rPr>
        <w:t>做好</w:t>
      </w:r>
      <w:r>
        <w:rPr>
          <w:rFonts w:ascii="Times New Roman" w:eastAsia="方正仿宋_GBK" w:hAnsi="Times New Roman"/>
          <w:bCs/>
          <w:kern w:val="2"/>
          <w:sz w:val="32"/>
          <w:szCs w:val="32"/>
          <w:lang w:val="en-US" w:eastAsia="zh-CN"/>
        </w:rPr>
        <w:t>12360</w:t>
      </w:r>
      <w:r>
        <w:rPr>
          <w:rFonts w:ascii="Times New Roman" w:eastAsia="方正仿宋_GBK" w:cs="Times New Roman" w:hAnsi="Times New Roman" w:hint="eastAsia"/>
          <w:bCs/>
          <w:kern w:val="2"/>
          <w:sz w:val="32"/>
          <w:szCs w:val="32"/>
          <w:lang w:val="en-US" w:eastAsia="zh-CN"/>
        </w:rPr>
        <w:t>归并</w:t>
      </w:r>
      <w:r>
        <w:rPr>
          <w:rFonts w:ascii="Times New Roman" w:eastAsia="方正仿宋_GBK" w:cs="宋体" w:hAnsi="Times New Roman" w:hint="eastAsia"/>
          <w:color w:val="333333"/>
          <w:kern w:val="0"/>
          <w:sz w:val="32"/>
          <w:szCs w:val="32"/>
        </w:rPr>
        <w:t>省级</w:t>
      </w:r>
      <w:r>
        <w:rPr>
          <w:rFonts w:ascii="Times New Roman" w:eastAsia="方正仿宋_GBK" w:hAnsi="Times New Roman"/>
          <w:bCs/>
          <w:kern w:val="2"/>
          <w:sz w:val="32"/>
          <w:szCs w:val="32"/>
          <w:lang w:val="en-US" w:eastAsia="zh-CN"/>
        </w:rPr>
        <w:t>12345</w:t>
      </w:r>
      <w:r>
        <w:rPr>
          <w:rFonts w:ascii="Times New Roman" w:eastAsia="方正仿宋_GBK" w:cs="Times New Roman" w:hAnsi="Times New Roman" w:hint="eastAsia"/>
          <w:bCs/>
          <w:kern w:val="2"/>
          <w:sz w:val="32"/>
          <w:szCs w:val="32"/>
          <w:lang w:val="en-US" w:eastAsia="zh-CN"/>
        </w:rPr>
        <w:t>服务热线工作，</w:t>
      </w:r>
      <w:r>
        <w:rPr>
          <w:rFonts w:ascii="Times New Roman" w:eastAsia="方正仿宋_GBK" w:cs="Times New Roman" w:hAnsi="Times New Roman" w:hint="eastAsia"/>
          <w:bCs/>
          <w:sz w:val="32"/>
          <w:szCs w:val="32"/>
          <w:lang w:val="en-US" w:eastAsia="zh-CN"/>
        </w:rPr>
        <w:t>提升</w:t>
      </w:r>
      <w:r>
        <w:rPr>
          <w:rFonts w:ascii="Times New Roman" w:eastAsia="方正仿宋_GBK" w:hAnsi="Times New Roman"/>
          <w:bCs/>
          <w:sz w:val="32"/>
          <w:szCs w:val="32"/>
          <w:lang w:val="en-US" w:eastAsia="zh-CN"/>
        </w:rPr>
        <w:t>12360</w:t>
      </w:r>
      <w:r>
        <w:rPr>
          <w:rFonts w:ascii="Times New Roman" w:eastAsia="方正仿宋_GBK" w:hAnsi="Times New Roman" w:hint="eastAsia"/>
          <w:bCs/>
          <w:sz w:val="32"/>
          <w:szCs w:val="32"/>
        </w:rPr>
        <w:t>热线和政务新媒体工作质效，12360热线接通率保持在98%以上。</w:t>
      </w:r>
    </w:p>
    <w:p>
      <w:pPr>
        <w:pStyle w:val="131"/>
        <w:spacing w:line="560" w:lineRule="exact"/>
        <w:ind w:left="0" w:firstLineChars="200" w:firstLine="640"/>
        <w:jc w:val="left"/>
        <w:rPr>
          <w:rFonts w:cs="宋体"/>
          <w:color w:val="333333"/>
          <w:kern w:val="0"/>
          <w:szCs w:val="32"/>
        </w:rPr>
      </w:pPr>
      <w:r>
        <w:rPr>
          <w:rFonts w:ascii="Times New Roman" w:eastAsia="方正楷体_GBK" w:cs="宋体" w:hAnsi="Times New Roman" w:hint="eastAsia"/>
          <w:b/>
          <w:bCs/>
          <w:color w:val="333333"/>
          <w:kern w:val="0"/>
          <w:sz w:val="32"/>
          <w:szCs w:val="32"/>
        </w:rPr>
        <w:t>（三）不断</w:t>
      </w:r>
      <w:r>
        <w:rPr>
          <w:rFonts w:ascii="Times New Roman" w:eastAsia="方正楷体_GBK" w:cs="宋体" w:hAnsi="Times New Roman"/>
          <w:b/>
          <w:bCs/>
          <w:color w:val="333333"/>
          <w:kern w:val="0"/>
          <w:sz w:val="32"/>
          <w:szCs w:val="32"/>
        </w:rPr>
        <w:t>丰富政策解读</w:t>
      </w:r>
      <w:r>
        <w:rPr>
          <w:rFonts w:ascii="Times New Roman" w:eastAsia="方正楷体_GBK" w:cs="宋体" w:hAnsi="Times New Roman" w:hint="eastAsia"/>
          <w:b/>
          <w:bCs/>
          <w:color w:val="333333"/>
          <w:kern w:val="0"/>
          <w:sz w:val="32"/>
          <w:szCs w:val="32"/>
        </w:rPr>
        <w:t>。</w:t>
      </w:r>
      <w:r>
        <w:rPr>
          <w:rFonts w:ascii="Times New Roman" w:eastAsia="方正仿宋_GBK" w:cs="Times New Roman" w:hAnsi="Times New Roman" w:hint="eastAsia"/>
          <w:bCs/>
          <w:sz w:val="32"/>
          <w:szCs w:val="32"/>
        </w:rPr>
        <w:t>利用视频、动漫、手绘漫画等形式开展政策解读，并积极通过长沙海关12360公众号、海关总署12360公众号及门户网站等多平台发布，增强海关政策的传播力、影响力。全年</w:t>
      </w:r>
      <w:r>
        <w:rPr>
          <w:rFonts w:ascii="Times New Roman" w:eastAsia="方正仿宋_GBK" w:cs="Times New Roman" w:hAnsi="Times New Roman"/>
          <w:bCs/>
          <w:sz w:val="32"/>
          <w:szCs w:val="32"/>
        </w:rPr>
        <w:t>共</w:t>
      </w:r>
      <w:r>
        <w:rPr>
          <w:rFonts w:ascii="Times New Roman" w:eastAsia="方正仿宋_GBK" w:cs="Times New Roman" w:hAnsi="Times New Roman" w:hint="eastAsia"/>
          <w:bCs/>
          <w:sz w:val="32"/>
          <w:szCs w:val="32"/>
        </w:rPr>
        <w:t>发布</w:t>
      </w:r>
      <w:r>
        <w:rPr>
          <w:rFonts w:ascii="Times New Roman" w:eastAsia="方正仿宋_GBK" w:cs="Times New Roman" w:hAnsi="Times New Roman"/>
          <w:bCs/>
          <w:sz w:val="32"/>
          <w:szCs w:val="32"/>
        </w:rPr>
        <w:t>各类</w:t>
      </w:r>
      <w:r>
        <w:rPr>
          <w:rFonts w:ascii="Times New Roman" w:eastAsia="方正仿宋_GBK" w:cs="Times New Roman" w:hAnsi="Times New Roman" w:hint="eastAsia"/>
          <w:bCs/>
          <w:sz w:val="32"/>
          <w:szCs w:val="32"/>
        </w:rPr>
        <w:t>解读</w:t>
      </w:r>
      <w:r>
        <w:rPr>
          <w:rFonts w:ascii="Times New Roman" w:eastAsia="方正仿宋_GBK" w:cs="Times New Roman" w:hAnsi="Times New Roman"/>
          <w:bCs/>
          <w:sz w:val="32"/>
          <w:szCs w:val="32"/>
        </w:rPr>
        <w:t>稿件182</w:t>
      </w:r>
      <w:r>
        <w:rPr>
          <w:rFonts w:ascii="Times New Roman" w:eastAsia="方正仿宋_GBK" w:cs="Times New Roman" w:hAnsi="Times New Roman" w:hint="eastAsia"/>
          <w:bCs/>
          <w:sz w:val="32"/>
          <w:szCs w:val="32"/>
        </w:rPr>
        <w:t>篇次。</w:t>
      </w:r>
      <w:r>
        <w:rPr>
          <w:rFonts w:ascii="Times New Roman" w:eastAsia="方正仿宋_GBK" w:cs="Times New Roman" w:hAnsi="Times New Roman" w:hint="eastAsia"/>
          <w:bCs/>
          <w:sz w:val="32"/>
          <w:szCs w:val="32"/>
          <w:lang w:val="en-US" w:eastAsia="zh-CN"/>
        </w:rPr>
        <w:t>用鲜活的视听语言讲好海关故事，在总署网站的海关影像栏目发布《舌尖上的旅检》等微视频4部</w:t>
      </w:r>
      <w:r>
        <w:rPr>
          <w:rFonts w:ascii="Times New Roman" w:eastAsia="方正仿宋_GBK" w:cs="Times New Roman" w:hAnsi="Times New Roman" w:hint="eastAsia"/>
          <w:bCs/>
          <w:sz w:val="32"/>
          <w:szCs w:val="32"/>
        </w:rPr>
        <w:t>，累计在学习强国、海关发布等平台发布微视频70余个。</w:t>
      </w:r>
    </w:p>
    <w:p>
      <w:pPr>
        <w:pStyle w:val="39"/>
        <w:adjustRightInd w:val="0"/>
        <w:snapToGrid w:val="0"/>
        <w:ind w:firstLineChars="200" w:firstLine="624"/>
        <w:rPr>
          <w:rFonts w:eastAsia="方正黑体_GBK" w:cs="楷体_GB2312"/>
          <w:bCs/>
          <w:szCs w:val="32"/>
          <w:shd w:val="clear" w:color="auto" w:fill="FFFFFF"/>
        </w:rPr>
      </w:pPr>
      <w:r>
        <w:rPr>
          <w:rFonts w:eastAsia="方正黑体_GBK" w:cs="楷体_GB2312" w:hint="eastAsia"/>
          <w:bCs/>
          <w:szCs w:val="32"/>
          <w:shd w:val="clear" w:color="auto" w:fill="FFFFFF"/>
        </w:rPr>
        <w:t>二、主动公开政府信息情况</w:t>
      </w:r>
    </w:p>
    <w:tbl>
      <w:tblPr>
        <w:jc w:val="center"/>
        <w:tblW w:w="8994" w:type="dxa"/>
        <w:tblBorders>
          <w:top w:val="single" w:sz="4" w:space="0" w:color="auto"/>
          <w:left w:val="single" w:sz="4" w:space="0" w:color="auto"/>
          <w:bottom w:val="single" w:sz="4" w:space="0" w:color="auto"/>
          <w:right w:val="single" w:sz="4"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4" w:space="0" w:color="auto"/>
              <w:left w:val="single" w:sz="4" w:space="0" w:color="auto"/>
              <w:bottom w:val="single" w:sz="4" w:space="0" w:color="auto"/>
              <w:right w:val="single" w:sz="4" w:space="0" w:color="auto"/>
            </w:tcBorders>
            <w:shd w:val="clear" w:color="auto" w:fill="C6D9F1"/>
            <w:tcMar>
              <w:left w:w="108" w:type="dxa"/>
              <w:right w:w="108" w:type="dxa"/>
            </w:tcMar>
            <w:vAlign w:val="center"/>
          </w:tcPr>
          <w:p>
            <w:pPr>
              <w:pStyle w:val="34"/>
              <w:widowControl/>
              <w:spacing w:line="560" w:lineRule="exact"/>
              <w:ind w:firstLineChars="200" w:firstLine="480"/>
              <w:jc w:val="center"/>
              <w:rPr>
                <w:sz w:val="24"/>
                <w:szCs w:val="24"/>
              </w:rPr>
            </w:pPr>
            <w:r>
              <w:rPr>
                <w:rFonts w:cs="宋体" w:hint="eastAsia"/>
                <w:kern w:val="0"/>
                <w:sz w:val="24"/>
                <w:szCs w:val="24"/>
              </w:rPr>
              <w:t>第二十条第（一）项</w:t>
            </w:r>
          </w:p>
        </w:tc>
      </w:tr>
      <w:tr>
        <w:trPr>
          <w:trHeight w:val="68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信息内容</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本年</w:t>
            </w:r>
            <w:r>
              <w:rPr>
                <w:kern w:val="0"/>
                <w:sz w:val="24"/>
                <w:szCs w:val="24"/>
              </w:rPr>
              <w:t>制发件数</w:t>
            </w:r>
          </w:p>
        </w:tc>
        <w:tc>
          <w:tcPr>
            <w:tcW w:w="193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本年废止件</w:t>
            </w:r>
            <w:r>
              <w:rPr>
                <w:kern w:val="0"/>
                <w:sz w:val="24"/>
                <w:szCs w:val="24"/>
              </w:rPr>
              <w:t>数</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widowControl/>
              <w:jc w:val="center"/>
              <w:rPr>
                <w:sz w:val="24"/>
                <w:szCs w:val="24"/>
              </w:rPr>
            </w:pPr>
            <w:r>
              <w:rPr>
                <w:rFonts w:cs="宋体" w:hint="eastAsia"/>
                <w:kern w:val="0"/>
                <w:sz w:val="24"/>
                <w:szCs w:val="24"/>
              </w:rPr>
              <w:t>现行有效件数</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规章</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hint="eastAsia"/>
                <w:sz w:val="24"/>
                <w:szCs w:val="24"/>
              </w:rPr>
              <w:t>0</w:t>
            </w:r>
          </w:p>
        </w:tc>
        <w:tc>
          <w:tcPr>
            <w:tcW w:w="193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hint="eastAsia"/>
                <w:sz w:val="24"/>
                <w:szCs w:val="24"/>
              </w:rPr>
              <w:t>0</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cs="宋体"/>
                <w:sz w:val="24"/>
                <w:szCs w:val="24"/>
              </w:rPr>
            </w:pPr>
            <w:r>
              <w:rPr>
                <w:rFonts w:eastAsia="方正仿宋_GBK" w:cs="宋体" w:hint="eastAsia"/>
                <w:sz w:val="24"/>
                <w:szCs w:val="24"/>
              </w:rPr>
              <w:t>0</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行政规范性文件</w:t>
            </w:r>
          </w:p>
        </w:tc>
        <w:tc>
          <w:tcPr>
            <w:tcW w:w="2183"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sz w:val="24"/>
                <w:szCs w:val="24"/>
              </w:rPr>
              <w:t>0</w:t>
            </w:r>
          </w:p>
        </w:tc>
        <w:tc>
          <w:tcPr>
            <w:tcW w:w="193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sz w:val="24"/>
                <w:szCs w:val="24"/>
              </w:rPr>
              <w:t>0</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cs="宋体"/>
                <w:sz w:val="24"/>
                <w:szCs w:val="24"/>
              </w:rPr>
            </w:pPr>
            <w:r>
              <w:rPr>
                <w:rFonts w:eastAsia="方正仿宋_GBK" w:cs="宋体"/>
                <w:sz w:val="24"/>
                <w:szCs w:val="24"/>
              </w:rPr>
              <w:t>6</w:t>
            </w:r>
          </w:p>
        </w:tc>
      </w:tr>
      <w:tr>
        <w:trPr>
          <w:trHeight w:val="435"/>
        </w:trPr>
        <w:tc>
          <w:tcPr>
            <w:tcW w:w="8995" w:type="dxa"/>
            <w:gridSpan w:val="4"/>
            <w:tcBorders>
              <w:top w:val="single" w:sz="4" w:space="0" w:color="auto"/>
              <w:left w:val="single" w:sz="4" w:space="0" w:color="auto"/>
              <w:bottom w:val="single" w:sz="4" w:space="0" w:color="auto"/>
              <w:right w:val="single" w:sz="4" w:space="0" w:color="auto"/>
            </w:tcBorders>
            <w:shd w:val="clear" w:color="auto" w:fill="C6D9F1"/>
            <w:tcMar>
              <w:left w:w="108" w:type="dxa"/>
              <w:right w:w="108" w:type="dxa"/>
            </w:tcMar>
            <w:vAlign w:val="center"/>
          </w:tcPr>
          <w:p>
            <w:pPr>
              <w:pStyle w:val="34"/>
              <w:widowControl/>
              <w:jc w:val="center"/>
              <w:rPr>
                <w:sz w:val="24"/>
                <w:szCs w:val="24"/>
              </w:rPr>
            </w:pPr>
            <w:r>
              <w:rPr>
                <w:rFonts w:cs="宋体" w:hint="eastAsia"/>
                <w:kern w:val="0"/>
                <w:sz w:val="24"/>
                <w:szCs w:val="24"/>
              </w:rPr>
              <w:t>第二十条第（五）项</w:t>
            </w:r>
          </w:p>
        </w:tc>
      </w:tr>
      <w:tr>
        <w:trPr>
          <w:trHeight w:val="68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信息内容</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58"/>
              <w:widowControl/>
              <w:adjustRightInd w:val="0"/>
              <w:snapToGrid w:val="0"/>
              <w:spacing w:line="260" w:lineRule="exact"/>
              <w:jc w:val="center"/>
              <w:rPr>
                <w:sz w:val="24"/>
                <w:szCs w:val="24"/>
              </w:rPr>
            </w:pPr>
            <w:r>
              <w:rPr>
                <w:rFonts w:cs="宋体" w:hint="eastAsia"/>
                <w:kern w:val="0"/>
                <w:sz w:val="24"/>
                <w:szCs w:val="24"/>
              </w:rPr>
              <w:t>本年处理决定数量</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行政许可</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hint="eastAsia"/>
                <w:sz w:val="24"/>
                <w:szCs w:val="24"/>
              </w:rPr>
              <w:t>1736</w:t>
            </w:r>
          </w:p>
        </w:tc>
      </w:tr>
      <w:tr>
        <w:trPr>
          <w:trHeight w:val="406"/>
        </w:trPr>
        <w:tc>
          <w:tcPr>
            <w:tcW w:w="8995" w:type="dxa"/>
            <w:gridSpan w:val="4"/>
            <w:tcBorders>
              <w:top w:val="single" w:sz="4" w:space="0" w:color="auto"/>
              <w:left w:val="single" w:sz="4" w:space="0" w:color="auto"/>
              <w:bottom w:val="single" w:sz="4" w:space="0" w:color="auto"/>
              <w:right w:val="single" w:sz="4" w:space="0" w:color="auto"/>
            </w:tcBorders>
            <w:shd w:val="clear" w:color="auto" w:fill="C6D9F1"/>
            <w:tcMar>
              <w:left w:w="108" w:type="dxa"/>
              <w:right w:w="108" w:type="dxa"/>
            </w:tcMar>
            <w:vAlign w:val="center"/>
          </w:tcPr>
          <w:p>
            <w:pPr>
              <w:pStyle w:val="34"/>
              <w:widowControl/>
              <w:jc w:val="center"/>
              <w:rPr>
                <w:sz w:val="24"/>
                <w:szCs w:val="24"/>
              </w:rPr>
            </w:pPr>
            <w:r>
              <w:rPr>
                <w:rFonts w:cs="宋体" w:hint="eastAsia"/>
                <w:kern w:val="0"/>
                <w:sz w:val="24"/>
                <w:szCs w:val="24"/>
              </w:rPr>
              <w:t>第二十条第（六）项</w:t>
            </w:r>
          </w:p>
        </w:tc>
      </w:tr>
      <w:tr>
        <w:trPr>
          <w:trHeight w:val="68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信息内容</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61"/>
              <w:widowControl/>
              <w:adjustRightInd w:val="0"/>
              <w:snapToGrid w:val="0"/>
              <w:spacing w:line="260" w:lineRule="exact"/>
              <w:jc w:val="center"/>
              <w:rPr>
                <w:sz w:val="24"/>
                <w:szCs w:val="24"/>
              </w:rPr>
            </w:pPr>
            <w:r>
              <w:rPr>
                <w:rFonts w:cs="宋体" w:hint="eastAsia"/>
                <w:kern w:val="0"/>
                <w:sz w:val="24"/>
                <w:szCs w:val="24"/>
              </w:rPr>
              <w:t>本年处理决定数量</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行政处罚</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sz w:val="24"/>
                <w:szCs w:val="24"/>
              </w:rPr>
              <w:t>15</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行政强制</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70"/>
              <w:jc w:val="center"/>
              <w:rPr>
                <w:rFonts w:eastAsia="方正仿宋_GBK" w:cs="宋体"/>
                <w:sz w:val="24"/>
                <w:szCs w:val="24"/>
              </w:rPr>
            </w:pPr>
            <w:r>
              <w:rPr>
                <w:rFonts w:eastAsia="方正仿宋_GBK" w:cs="宋体"/>
                <w:sz w:val="24"/>
                <w:szCs w:val="24"/>
              </w:rPr>
              <w:t>0</w:t>
            </w:r>
          </w:p>
        </w:tc>
      </w:tr>
      <w:tr>
        <w:trPr>
          <w:trHeight w:val="474"/>
        </w:trPr>
        <w:tc>
          <w:tcPr>
            <w:tcW w:w="8995" w:type="dxa"/>
            <w:gridSpan w:val="4"/>
            <w:tcBorders>
              <w:top w:val="single" w:sz="4" w:space="0" w:color="auto"/>
              <w:left w:val="single" w:sz="4" w:space="0" w:color="auto"/>
              <w:bottom w:val="single" w:sz="4" w:space="0" w:color="auto"/>
              <w:right w:val="single" w:sz="4" w:space="0" w:color="auto"/>
            </w:tcBorders>
            <w:shd w:val="clear" w:color="auto" w:fill="C6D9F1"/>
            <w:tcMar>
              <w:left w:w="108" w:type="dxa"/>
              <w:right w:w="108" w:type="dxa"/>
            </w:tcMar>
            <w:vAlign w:val="center"/>
          </w:tcPr>
          <w:p>
            <w:pPr>
              <w:pStyle w:val="34"/>
              <w:widowControl/>
              <w:jc w:val="center"/>
              <w:rPr>
                <w:sz w:val="24"/>
                <w:szCs w:val="24"/>
              </w:rPr>
            </w:pPr>
            <w:r>
              <w:rPr>
                <w:rFonts w:cs="宋体" w:hint="eastAsia"/>
                <w:kern w:val="0"/>
                <w:sz w:val="24"/>
                <w:szCs w:val="24"/>
              </w:rPr>
              <w:t>第二十条第（八）项</w:t>
            </w:r>
          </w:p>
        </w:tc>
      </w:tr>
      <w:tr>
        <w:trPr>
          <w:trHeight w:val="68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rPr>
                <w:sz w:val="24"/>
                <w:szCs w:val="24"/>
              </w:rPr>
            </w:pPr>
            <w:r>
              <w:rPr>
                <w:rFonts w:cs="宋体" w:hint="eastAsia"/>
                <w:kern w:val="0"/>
                <w:sz w:val="24"/>
                <w:szCs w:val="24"/>
              </w:rPr>
              <w:t>信息内容</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65"/>
              <w:widowControl/>
              <w:adjustRightInd w:val="0"/>
              <w:snapToGrid w:val="0"/>
              <w:spacing w:line="260" w:lineRule="exact"/>
              <w:jc w:val="center"/>
              <w:rPr>
                <w:sz w:val="24"/>
                <w:szCs w:val="24"/>
              </w:rPr>
            </w:pPr>
            <w:r>
              <w:rPr>
                <w:rFonts w:cs="宋体" w:hint="eastAsia"/>
                <w:kern w:val="0"/>
                <w:sz w:val="24"/>
                <w:szCs w:val="24"/>
              </w:rPr>
              <w:t>本年收费金额（单位：万元）</w:t>
            </w:r>
          </w:p>
        </w:tc>
      </w:tr>
      <w:tr>
        <w:trPr>
          <w:trHeight w:val="510"/>
        </w:trPr>
        <w:tc>
          <w:tcPr>
            <w:tcW w:w="27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adjustRightInd w:val="0"/>
              <w:snapToGrid w:val="0"/>
              <w:spacing w:line="260" w:lineRule="exact"/>
              <w:jc w:val="center"/>
            </w:pPr>
            <w:r>
              <w:rPr>
                <w:rFonts w:cs="宋体" w:hint="eastAsia"/>
                <w:kern w:val="0"/>
                <w:sz w:val="24"/>
                <w:szCs w:val="24"/>
              </w:rPr>
              <w:t>行政事业性收费</w:t>
            </w:r>
          </w:p>
        </w:tc>
        <w:tc>
          <w:tcPr>
            <w:tcW w:w="6275"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31"/>
        <w:widowControl/>
        <w:shd w:val="clear" w:color="auto" w:fill="FFFFFF"/>
        <w:adjustRightInd w:val="0"/>
        <w:snapToGrid w:val="0"/>
        <w:spacing w:beforeAutospacing="0" w:afterLines="50" w:after="218" w:afterAutospacing="0" w:line="560" w:lineRule="exact"/>
        <w:ind w:firstLineChars="200" w:firstLine="640"/>
        <w:jc w:val="both"/>
        <w:rPr>
          <w:rFonts w:eastAsia="方正黑体_GBK" w:cs="楷体_GB2312"/>
          <w:bCs/>
          <w:sz w:val="32"/>
          <w:szCs w:val="32"/>
          <w:shd w:val="clear" w:color="auto" w:fill="FFFFFF"/>
        </w:rPr>
      </w:pPr>
      <w:r>
        <w:rPr>
          <w:rFonts w:eastAsia="方正黑体_GBK" w:cs="楷体_GB2312" w:hint="eastAsia"/>
          <w:bCs/>
          <w:sz w:val="32"/>
          <w:szCs w:val="32"/>
          <w:shd w:val="clear" w:color="auto" w:fill="FFFFFF"/>
        </w:rPr>
        <w:t>三、收到和处理政府信息公开申请情况</w:t>
      </w:r>
    </w:p>
    <w:tbl>
      <w:tblPr>
        <w:jc w:val="center"/>
        <w:tblW w:w="9071"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2"/>
        <w:gridCol w:w="678"/>
        <w:gridCol w:w="750"/>
        <w:gridCol w:w="765"/>
        <w:gridCol w:w="765"/>
        <w:gridCol w:w="497"/>
        <w:gridCol w:w="682"/>
      </w:tblGrid>
      <w:tr>
        <w:trPr>
          <w:tblHeader/>
        </w:trPr>
        <w:tc>
          <w:tcPr>
            <w:tcW w:w="4302" w:type="dxa"/>
            <w:gridSpan w:val="3"/>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（本列数据的勾稽关系为：第一项加第二项之和，等于第三项加第四项之和）</w:t>
            </w:r>
          </w:p>
        </w:tc>
        <w:tc>
          <w:tcPr>
            <w:tcW w:w="4769" w:type="dxa"/>
            <w:gridSpan w:val="7"/>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申请人情况</w:t>
            </w:r>
          </w:p>
        </w:tc>
      </w:tr>
      <w:tr>
        <w:trPr>
          <w:tblHeader/>
        </w:trPr>
        <w:tc>
          <w:tcPr>
            <w:tcW w:w="4302"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自然人</w:t>
            </w:r>
          </w:p>
        </w:tc>
        <w:tc>
          <w:tcPr>
            <w:tcW w:w="3455" w:type="dxa"/>
            <w:gridSpan w:val="5"/>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法人或其他组织</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总计</w:t>
            </w:r>
          </w:p>
        </w:tc>
      </w:tr>
      <w:tr>
        <w:trPr>
          <w:trHeight w:val="649"/>
          <w:tblHeader/>
        </w:trPr>
        <w:tc>
          <w:tcPr>
            <w:tcW w:w="4302"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32"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商业企业</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科研机构</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社会公益组织</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法律服务机构</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pPr>
            <w:r>
              <w:rPr>
                <w:rFonts w:cs="宋体" w:hint="eastAsia"/>
                <w:kern w:val="0"/>
                <w:sz w:val="20"/>
                <w:szCs w:val="20"/>
              </w:rPr>
              <w:t>其他</w:t>
            </w:r>
          </w:p>
        </w:tc>
        <w:tc>
          <w:tcPr>
            <w:tcW w:w="682"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r>
      <w:tr>
        <w:tc>
          <w:tcPr>
            <w:tcW w:w="4302"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pPr>
              <w:pStyle w:val="34"/>
              <w:widowControl/>
              <w:jc w:val="left"/>
              <w:rPr>
                <w:sz w:val="24"/>
                <w:szCs w:val="24"/>
              </w:rPr>
            </w:pPr>
            <w:r>
              <w:rPr>
                <w:rFonts w:cs="宋体" w:hint="eastAsia"/>
                <w:kern w:val="0"/>
                <w:sz w:val="24"/>
                <w:szCs w:val="24"/>
              </w:rPr>
              <w:t>一、本年新收政府信息公开申请数量</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1</w:t>
            </w:r>
          </w:p>
        </w:tc>
      </w:tr>
      <w:tr>
        <w:tc>
          <w:tcPr>
            <w:tcW w:w="4302"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pPr>
              <w:pStyle w:val="34"/>
              <w:widowControl/>
              <w:jc w:val="left"/>
              <w:rPr>
                <w:sz w:val="24"/>
                <w:szCs w:val="24"/>
              </w:rPr>
            </w:pPr>
            <w:r>
              <w:rPr>
                <w:rFonts w:cs="宋体" w:hint="eastAsia"/>
                <w:kern w:val="0"/>
                <w:sz w:val="24"/>
                <w:szCs w:val="24"/>
              </w:rPr>
              <w:t>二、上年结转政府信息公开申请数量</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0</w:t>
            </w:r>
          </w:p>
        </w:tc>
      </w:tr>
      <w:tr>
        <w:tc>
          <w:tcPr>
            <w:tcW w:w="69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三、本年度办理结果</w:t>
            </w:r>
          </w:p>
        </w:tc>
        <w:tc>
          <w:tcPr>
            <w:tcW w:w="3606"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left"/>
              <w:rPr>
                <w:sz w:val="24"/>
                <w:szCs w:val="24"/>
              </w:rPr>
            </w:pPr>
            <w:r>
              <w:rPr>
                <w:rFonts w:eastAsia="楷体" w:cs="楷体" w:hint="eastAsia"/>
                <w:kern w:val="0"/>
                <w:sz w:val="24"/>
                <w:szCs w:val="24"/>
              </w:rPr>
              <w:t>（一）予以公开</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3606"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left"/>
              <w:rPr>
                <w:sz w:val="24"/>
                <w:szCs w:val="24"/>
              </w:rPr>
            </w:pPr>
            <w:r>
              <w:rPr>
                <w:rFonts w:eastAsia="楷体" w:cs="楷体" w:hint="eastAsia"/>
                <w:kern w:val="0"/>
                <w:sz w:val="24"/>
                <w:szCs w:val="24"/>
              </w:rPr>
              <w:t>（二）部分公开（区分处理的，只计这一情形，不计其他情形）</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（三）不予公开</w:t>
            </w: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1.属于国家秘密</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2.其他法律行政法规禁止公开</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3.危及“三安全一稳定”</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4.保护第三方合法权益</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5.属于三类内部事务信息</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6.属于四类过程性信息</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7.属于行政执法案卷</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8.属于行政查询事项</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（四）无法提供</w:t>
            </w: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1.本机关不掌握相关政府信息</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1</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2.没有现成信息需要另行制作</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3.补正后申请内容仍不明确</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（五）不予处理</w:t>
            </w: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1.信访举报投诉类申请</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2.重复申请</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3.要求提供公开出版物</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4.无正当理由大量反复申请</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5.要求行政机关确认或重新出具已获取信息</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（六）其他处理</w:t>
            </w:r>
          </w:p>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pPr>
              <w:pStyle w:val="34"/>
              <w:widowControl/>
              <w:rPr>
                <w:rFonts w:eastAsia="楷体" w:cs="楷体"/>
                <w:kern w:val="0"/>
                <w:sz w:val="24"/>
                <w:szCs w:val="24"/>
              </w:rPr>
            </w:pPr>
            <w:r>
              <w:rPr>
                <w:rFonts w:eastAsia="楷体" w:cs="楷体" w:hint="eastAsia"/>
                <w:kern w:val="0"/>
                <w:sz w:val="24"/>
                <w:szCs w:val="24"/>
              </w:rPr>
              <w:t>1.申请人无正当理由逾期不补正、行政机关不再处理其政府信息公开申请</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Pr>
          <w:p>
            <w:pPr>
              <w:pStyle w:val="34"/>
              <w:widowControl/>
              <w:rPr>
                <w:rFonts w:eastAsia="楷体" w:cs="楷体"/>
                <w:kern w:val="0"/>
                <w:sz w:val="24"/>
                <w:szCs w:val="24"/>
              </w:rPr>
            </w:pPr>
            <w:r>
              <w:rPr>
                <w:rFonts w:eastAsia="楷体" w:cs="楷体" w:hint="eastAsia"/>
                <w:kern w:val="0"/>
                <w:sz w:val="24"/>
                <w:szCs w:val="24"/>
              </w:rPr>
              <w:t>2.申请人逾期未按收费通知要求缴纳费用、行政机关不再处理其政府信息公开申请</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Pr>
          <w:p>
            <w:pPr>
              <w:pStyle w:val="34"/>
              <w:widowControl/>
              <w:rPr>
                <w:rFonts w:eastAsia="楷体" w:cs="楷体"/>
                <w:kern w:val="0"/>
                <w:sz w:val="24"/>
                <w:szCs w:val="24"/>
              </w:rPr>
            </w:pPr>
            <w:r>
              <w:rPr>
                <w:rFonts w:eastAsia="楷体" w:cs="楷体" w:hint="eastAsia"/>
                <w:kern w:val="0"/>
                <w:sz w:val="24"/>
                <w:szCs w:val="24"/>
              </w:rPr>
              <w:t>3.咨询事项，指引咨询渠道</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2670" w:type="dxa"/>
            <w:tcBorders>
              <w:top w:val="single" w:sz="4" w:space="0" w:color="auto"/>
              <w:left w:val="single" w:sz="4" w:space="0" w:color="auto"/>
              <w:bottom w:val="single" w:sz="4" w:space="0" w:color="auto"/>
              <w:right w:val="single" w:sz="4" w:space="0" w:color="auto"/>
            </w:tcBorders>
            <w:shd w:val="clear" w:color="auto" w:fill="auto"/>
          </w:tcPr>
          <w:p>
            <w:pPr>
              <w:pStyle w:val="34"/>
              <w:widowControl/>
              <w:rPr>
                <w:rFonts w:eastAsia="楷体" w:cs="楷体"/>
                <w:kern w:val="0"/>
                <w:sz w:val="24"/>
                <w:szCs w:val="24"/>
              </w:rPr>
            </w:pPr>
            <w:r>
              <w:rPr>
                <w:rFonts w:eastAsia="楷体" w:cs="楷体" w:hint="eastAsia"/>
                <w:kern w:val="0"/>
                <w:sz w:val="24"/>
                <w:szCs w:val="24"/>
              </w:rPr>
              <w:t>4.申请人撤销申请</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jc w:val="center"/>
              <w:rPr>
                <w:rFonts w:eastAsia="方正仿宋_GBK"/>
                <w:sz w:val="24"/>
                <w:szCs w:val="24"/>
              </w:rPr>
            </w:pPr>
            <w:r>
              <w:rPr>
                <w:rFonts w:eastAsia="方正仿宋_GBK" w:hint="eastAsia"/>
                <w:sz w:val="24"/>
                <w:szCs w:val="24"/>
              </w:rPr>
              <w:t>0</w:t>
            </w:r>
          </w:p>
        </w:tc>
      </w:tr>
      <w:tr>
        <w:tc>
          <w:tcPr>
            <w:tcW w:w="696"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3606"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rPr>
                <w:sz w:val="24"/>
                <w:szCs w:val="24"/>
              </w:rPr>
            </w:pPr>
            <w:r>
              <w:rPr>
                <w:rFonts w:eastAsia="楷体" w:cs="楷体" w:hint="eastAsia"/>
                <w:kern w:val="0"/>
                <w:sz w:val="24"/>
                <w:szCs w:val="24"/>
              </w:rPr>
              <w:t>（七）总计</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sz w:val="24"/>
                <w:szCs w:val="24"/>
              </w:rPr>
              <w:t>1</w:t>
            </w:r>
          </w:p>
        </w:tc>
      </w:tr>
      <w:tr>
        <w:tc>
          <w:tcPr>
            <w:tcW w:w="4302" w:type="dxa"/>
            <w:gridSpan w:val="3"/>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left"/>
            </w:pPr>
            <w:r>
              <w:rPr>
                <w:rFonts w:cs="宋体" w:hint="eastAsia"/>
                <w:kern w:val="0"/>
                <w:sz w:val="24"/>
                <w:szCs w:val="24"/>
              </w:rPr>
              <w:t>四、结转下年度继续办理</w:t>
            </w:r>
          </w:p>
        </w:tc>
        <w:tc>
          <w:tcPr>
            <w:tcW w:w="63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49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jc w:val="center"/>
              <w:rPr>
                <w:rFonts w:eastAsia="方正仿宋_GBK"/>
                <w:sz w:val="24"/>
                <w:szCs w:val="24"/>
              </w:rPr>
            </w:pPr>
            <w:r>
              <w:rPr>
                <w:rFonts w:eastAsia="方正仿宋_GBK" w:hint="eastAsia"/>
                <w:sz w:val="24"/>
                <w:szCs w:val="24"/>
              </w:rPr>
              <w:t>0</w:t>
            </w:r>
          </w:p>
        </w:tc>
      </w:tr>
    </w:tbl>
    <w:p>
      <w:pPr>
        <w:pStyle w:val="31"/>
        <w:widowControl/>
        <w:shd w:val="clear" w:color="auto" w:fill="FFFFFF"/>
        <w:spacing w:beforeLines="50" w:before="218" w:beforeAutospacing="0" w:after="120" w:afterAutospacing="0"/>
        <w:ind w:firstLineChars="200" w:firstLine="640"/>
        <w:jc w:val="both"/>
        <w:rPr>
          <w:rFonts w:cs="宋体"/>
          <w:szCs w:val="24"/>
        </w:rPr>
      </w:pPr>
      <w:r>
        <w:rPr>
          <w:rFonts w:eastAsia="方正黑体_GBK" w:cs="楷体_GB2312" w:hint="eastAsia"/>
          <w:bCs/>
          <w:sz w:val="32"/>
          <w:szCs w:val="32"/>
          <w:shd w:val="clear" w:color="auto" w:fill="FFFFFF"/>
        </w:rPr>
        <w:t>四、政府信息公开行政复议、行政诉讼情况</w:t>
      </w:r>
    </w:p>
    <w:tbl>
      <w:tblPr>
        <w:jc w:val="center"/>
        <w:tblW w:w="9071"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29"/>
        <w:gridCol w:w="578"/>
        <w:gridCol w:w="605"/>
        <w:gridCol w:w="605"/>
        <w:gridCol w:w="605"/>
        <w:gridCol w:w="605"/>
        <w:gridCol w:w="605"/>
        <w:gridCol w:w="605"/>
        <w:gridCol w:w="605"/>
        <w:gridCol w:w="606"/>
        <w:gridCol w:w="606"/>
      </w:tblGrid>
      <w:tr>
        <w:tc>
          <w:tcPr>
            <w:tcW w:w="3045" w:type="dxa"/>
            <w:gridSpan w:val="5"/>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行政复议</w:t>
            </w:r>
          </w:p>
        </w:tc>
        <w:tc>
          <w:tcPr>
            <w:tcW w:w="6025" w:type="dxa"/>
            <w:gridSpan w:val="10"/>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行政诉讼</w:t>
            </w:r>
          </w:p>
        </w:tc>
      </w:tr>
      <w:tr>
        <w:tc>
          <w:tcPr>
            <w:tcW w:w="604"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结果维持</w:t>
            </w:r>
          </w:p>
        </w:tc>
        <w:tc>
          <w:tcPr>
            <w:tcW w:w="604"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结果纠正</w:t>
            </w:r>
          </w:p>
        </w:tc>
        <w:tc>
          <w:tcPr>
            <w:tcW w:w="604"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其他结果</w:t>
            </w:r>
          </w:p>
        </w:tc>
        <w:tc>
          <w:tcPr>
            <w:tcW w:w="604"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尚未审结</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总计</w:t>
            </w:r>
          </w:p>
        </w:tc>
        <w:tc>
          <w:tcPr>
            <w:tcW w:w="2998" w:type="dxa"/>
            <w:gridSpan w:val="5"/>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未经复议直接起诉</w:t>
            </w:r>
          </w:p>
        </w:tc>
        <w:tc>
          <w:tcPr>
            <w:tcW w:w="3027" w:type="dxa"/>
            <w:gridSpan w:val="5"/>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复议后起诉</w:t>
            </w:r>
          </w:p>
        </w:tc>
      </w:tr>
      <w:tr>
        <w:tc>
          <w:tcPr>
            <w:tcW w:w="604"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04"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04"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04"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658" w:type="dxa"/>
            <w:vMerge/>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tc>
        <w:tc>
          <w:tcPr>
            <w:tcW w:w="5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结果维持</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结果纠正</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其他结果</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尚未审结</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总计</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结果维持</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结果纠正</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其他结果</w:t>
            </w:r>
          </w:p>
        </w:tc>
        <w:tc>
          <w:tcPr>
            <w:tcW w:w="60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尚未审结</w:t>
            </w:r>
          </w:p>
        </w:tc>
        <w:tc>
          <w:tcPr>
            <w:tcW w:w="60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34"/>
              <w:widowControl/>
              <w:jc w:val="center"/>
              <w:rPr>
                <w:sz w:val="24"/>
                <w:szCs w:val="24"/>
              </w:rPr>
            </w:pPr>
            <w:r>
              <w:rPr>
                <w:rFonts w:cs="宋体" w:hint="eastAsia"/>
                <w:kern w:val="0"/>
                <w:sz w:val="24"/>
                <w:szCs w:val="24"/>
              </w:rPr>
              <w:t>总计</w:t>
            </w:r>
          </w:p>
        </w:tc>
      </w:tr>
      <w:tr>
        <w:trPr>
          <w:trHeight w:val="862"/>
        </w:trPr>
        <w:tc>
          <w:tcPr>
            <w:tcW w:w="60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4"/>
              <w:widowControl/>
              <w:jc w:val="center"/>
              <w:rPr>
                <w:sz w:val="28"/>
                <w:szCs w:val="28"/>
              </w:rPr>
            </w:pPr>
            <w:r>
              <w:rPr>
                <w:sz w:val="28"/>
                <w:szCs w:val="28"/>
              </w:rPr>
              <w:t>0</w:t>
            </w:r>
          </w:p>
        </w:tc>
        <w:tc>
          <w:tcPr>
            <w:tcW w:w="60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5"/>
              <w:widowControl/>
              <w:jc w:val="center"/>
              <w:rPr>
                <w:sz w:val="28"/>
                <w:szCs w:val="28"/>
              </w:rPr>
            </w:pPr>
            <w:r>
              <w:rPr>
                <w:rFonts w:hint="eastAsia"/>
                <w:sz w:val="28"/>
                <w:szCs w:val="28"/>
              </w:rPr>
              <w:t>0</w:t>
            </w:r>
          </w:p>
        </w:tc>
        <w:tc>
          <w:tcPr>
            <w:tcW w:w="60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6"/>
              <w:widowControl/>
              <w:jc w:val="center"/>
              <w:rPr>
                <w:sz w:val="28"/>
                <w:szCs w:val="28"/>
              </w:rPr>
            </w:pPr>
            <w:r>
              <w:rPr>
                <w:rFonts w:hint="eastAsia"/>
                <w:sz w:val="28"/>
                <w:szCs w:val="28"/>
              </w:rPr>
              <w:t>0</w:t>
            </w:r>
          </w:p>
        </w:tc>
        <w:tc>
          <w:tcPr>
            <w:tcW w:w="60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7"/>
              <w:widowControl/>
              <w:jc w:val="center"/>
              <w:rPr>
                <w:sz w:val="28"/>
                <w:szCs w:val="28"/>
              </w:rPr>
            </w:pPr>
            <w:r>
              <w:rPr>
                <w:rFonts w:hint="eastAsia"/>
                <w:sz w:val="28"/>
                <w:szCs w:val="28"/>
              </w:rPr>
              <w:t>0</w:t>
            </w:r>
          </w:p>
        </w:tc>
        <w:tc>
          <w:tcPr>
            <w:tcW w:w="62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8"/>
              <w:widowControl/>
              <w:jc w:val="center"/>
              <w:rPr>
                <w:sz w:val="28"/>
                <w:szCs w:val="28"/>
              </w:rPr>
            </w:pPr>
            <w:r>
              <w:rPr>
                <w:sz w:val="28"/>
                <w:szCs w:val="28"/>
              </w:rPr>
              <w:t>0</w:t>
            </w:r>
          </w:p>
        </w:tc>
        <w:tc>
          <w:tcPr>
            <w:tcW w:w="57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99"/>
              <w:widowControl/>
              <w:jc w:val="center"/>
              <w:rPr>
                <w:sz w:val="28"/>
                <w:szCs w:val="28"/>
              </w:rPr>
            </w:pPr>
            <w:r>
              <w:rPr>
                <w:rFonts w:hint="eastAsia"/>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0"/>
              <w:widowControl/>
              <w:jc w:val="center"/>
              <w:rPr>
                <w:sz w:val="28"/>
                <w:szCs w:val="28"/>
              </w:rPr>
            </w:pPr>
            <w:r>
              <w:rPr>
                <w:rFonts w:hint="eastAsia"/>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1"/>
              <w:widowControl/>
              <w:jc w:val="center"/>
              <w:rPr>
                <w:sz w:val="28"/>
                <w:szCs w:val="28"/>
              </w:rPr>
            </w:pPr>
            <w:r>
              <w:rPr>
                <w:rFonts w:hint="eastAsia"/>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2"/>
              <w:widowControl/>
              <w:jc w:val="center"/>
              <w:rPr>
                <w:sz w:val="28"/>
                <w:szCs w:val="28"/>
              </w:rPr>
            </w:pPr>
            <w:r>
              <w:rPr>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3"/>
              <w:widowControl/>
              <w:jc w:val="center"/>
              <w:rPr>
                <w:sz w:val="28"/>
                <w:szCs w:val="28"/>
              </w:rPr>
            </w:pPr>
            <w:r>
              <w:rPr>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4"/>
              <w:widowControl/>
              <w:jc w:val="center"/>
              <w:rPr>
                <w:sz w:val="28"/>
                <w:szCs w:val="28"/>
              </w:rPr>
            </w:pPr>
            <w:r>
              <w:rPr>
                <w:rFonts w:hint="eastAsia"/>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5"/>
              <w:widowControl/>
              <w:jc w:val="center"/>
              <w:rPr>
                <w:sz w:val="28"/>
                <w:szCs w:val="28"/>
              </w:rPr>
            </w:pPr>
            <w:r>
              <w:rPr>
                <w:rFonts w:hint="eastAsia"/>
                <w:sz w:val="28"/>
                <w:szCs w:val="28"/>
              </w:rPr>
              <w:t>0</w:t>
            </w:r>
          </w:p>
        </w:tc>
        <w:tc>
          <w:tcPr>
            <w:tcW w:w="60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6"/>
              <w:widowControl/>
              <w:jc w:val="center"/>
              <w:rPr>
                <w:sz w:val="28"/>
                <w:szCs w:val="28"/>
              </w:rPr>
            </w:pPr>
            <w:r>
              <w:rPr>
                <w:rFonts w:hint="eastAsia"/>
                <w:sz w:val="28"/>
                <w:szCs w:val="28"/>
              </w:rPr>
              <w:t>0</w:t>
            </w:r>
          </w:p>
        </w:tc>
        <w:tc>
          <w:tcPr>
            <w:tcW w:w="60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7"/>
              <w:widowControl/>
              <w:jc w:val="center"/>
              <w:rPr>
                <w:kern w:val="0"/>
                <w:sz w:val="28"/>
                <w:szCs w:val="28"/>
              </w:rPr>
            </w:pPr>
            <w:r>
              <w:rPr>
                <w:rFonts w:hint="eastAsia"/>
                <w:kern w:val="0"/>
                <w:sz w:val="28"/>
                <w:szCs w:val="28"/>
              </w:rPr>
              <w:t>0</w:t>
            </w:r>
          </w:p>
        </w:tc>
        <w:tc>
          <w:tcPr>
            <w:tcW w:w="60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pPr>
              <w:pStyle w:val="108"/>
              <w:widowControl/>
              <w:jc w:val="center"/>
              <w:rPr>
                <w:kern w:val="0"/>
                <w:sz w:val="28"/>
                <w:szCs w:val="28"/>
              </w:rPr>
            </w:pPr>
            <w:r>
              <w:rPr>
                <w:rFonts w:hint="eastAsia"/>
                <w:kern w:val="0"/>
                <w:sz w:val="28"/>
                <w:szCs w:val="28"/>
              </w:rPr>
              <w:t>0</w:t>
            </w:r>
          </w:p>
        </w:tc>
      </w:tr>
    </w:tbl>
    <w:p>
      <w:pPr>
        <w:pStyle w:val="31"/>
        <w:widowControl/>
        <w:shd w:val="clear" w:color="auto" w:fill="FFFFFF"/>
        <w:spacing w:beforeAutospacing="0" w:afterAutospacing="0" w:line="560" w:lineRule="exact"/>
        <w:ind w:firstLineChars="200" w:firstLine="640"/>
        <w:jc w:val="both"/>
        <w:rPr>
          <w:rFonts w:eastAsia="方正黑体_GBK" w:cs="楷体_GB2312"/>
          <w:bCs/>
          <w:sz w:val="32"/>
          <w:szCs w:val="32"/>
          <w:shd w:val="clear" w:color="auto" w:fill="FFFFFF"/>
        </w:rPr>
      </w:pPr>
      <w:r>
        <w:rPr>
          <w:rFonts w:eastAsia="方正黑体_GBK" w:cs="楷体_GB2312" w:hint="eastAsia"/>
          <w:bCs/>
          <w:sz w:val="32"/>
          <w:szCs w:val="32"/>
          <w:shd w:val="clear" w:color="auto" w:fill="FFFFFF"/>
        </w:rPr>
        <w:t>五、存在的主要问题及改进情况</w:t>
      </w:r>
    </w:p>
    <w:p>
      <w:pPr>
        <w:pBdr>
          <w:bottom w:val="single" w:sz="4" w:space="31" w:color="FFFFFF"/>
        </w:pBdr>
        <w:adjustRightInd w:val="0"/>
        <w:spacing w:line="560" w:lineRule="exact"/>
        <w:ind w:firstLineChars="200" w:firstLine="640"/>
        <w:contextualSpacing/>
        <w:rPr>
          <w:szCs w:val="32"/>
        </w:rPr>
      </w:pPr>
      <w:r>
        <w:rPr>
          <w:rFonts w:eastAsia="方正楷体_GBK" w:hint="eastAsia"/>
          <w:b/>
          <w:bCs/>
        </w:rPr>
        <w:t>（一）202</w:t>
      </w:r>
      <w:r>
        <w:rPr>
          <w:rFonts w:eastAsia="方正楷体_GBK"/>
          <w:b/>
          <w:bCs/>
        </w:rPr>
        <w:t>1</w:t>
      </w:r>
      <w:r>
        <w:rPr>
          <w:rFonts w:eastAsia="方正楷体_GBK" w:hint="eastAsia"/>
          <w:b/>
          <w:bCs/>
        </w:rPr>
        <w:t>年年报中所提问题整改情况。</w:t>
      </w:r>
      <w:r>
        <w:rPr>
          <w:rFonts w:ascii="Times New Roman" w:eastAsia="方正仿宋_GBK" w:cs="宋体" w:hAnsi="Times New Roman" w:hint="eastAsia"/>
          <w:vanish w:val="0"/>
          <w:color w:val="000000"/>
          <w:kern w:val="0"/>
          <w:sz w:val="32"/>
          <w:szCs w:val="32"/>
        </w:rPr>
        <w:t>针对我关在12360热线受理投诉办理上存在的职责不清问题，我关组织修订《长沙海关</w:t>
      </w:r>
      <w:r>
        <w:rPr>
          <w:rFonts w:ascii="Times New Roman" w:eastAsia="方正仿宋_GBK" w:cs="宋体" w:hAnsi="Times New Roman"/>
          <w:vanish w:val="0"/>
          <w:color w:val="000000"/>
          <w:kern w:val="0"/>
          <w:sz w:val="32"/>
          <w:szCs w:val="32"/>
        </w:rPr>
        <w:t>12360</w:t>
      </w:r>
      <w:r>
        <w:rPr>
          <w:rFonts w:ascii="Times New Roman" w:eastAsia="方正仿宋_GBK" w:cs="宋体" w:hAnsi="Times New Roman" w:hint="eastAsia"/>
          <w:vanish w:val="0"/>
          <w:color w:val="000000"/>
          <w:kern w:val="0"/>
          <w:sz w:val="32"/>
          <w:szCs w:val="32"/>
        </w:rPr>
        <w:t>服务热线工作管理办法》，重点在投诉处置</w:t>
      </w:r>
      <w:r>
        <w:rPr>
          <w:rFonts w:ascii="Times New Roman" w:eastAsia="方正仿宋_GBK" w:cs="宋体" w:hAnsi="Times New Roman"/>
          <w:vanish w:val="0"/>
          <w:color w:val="000000"/>
          <w:kern w:val="0"/>
          <w:sz w:val="32"/>
          <w:szCs w:val="32"/>
        </w:rPr>
        <w:t>办理中</w:t>
      </w:r>
      <w:r>
        <w:rPr>
          <w:rFonts w:ascii="Times New Roman" w:eastAsia="方正仿宋_GBK" w:cs="宋体" w:hAnsi="Times New Roman" w:hint="eastAsia"/>
          <w:vanish w:val="0"/>
          <w:color w:val="000000"/>
          <w:kern w:val="0"/>
          <w:sz w:val="32"/>
          <w:szCs w:val="32"/>
        </w:rPr>
        <w:t>增加跟踪督办环节，</w:t>
      </w:r>
      <w:r>
        <w:rPr>
          <w:rFonts w:ascii="Times New Roman" w:eastAsia="方正仿宋_GBK" w:cs="宋体" w:hAnsi="Times New Roman"/>
          <w:vanish w:val="0"/>
          <w:color w:val="000000"/>
          <w:kern w:val="0"/>
          <w:sz w:val="32"/>
          <w:szCs w:val="32"/>
        </w:rPr>
        <w:t>明确办公室进行跟踪督办。同时规定</w:t>
      </w:r>
      <w:r>
        <w:rPr>
          <w:rFonts w:ascii="Calibri" w:eastAsia="方正仿宋_GBK" w:hAnsi="Calibri" w:hint="eastAsia"/>
          <w:vanish w:val="0"/>
          <w:sz w:val="32"/>
          <w:szCs w:val="32"/>
        </w:rPr>
        <w:t>投诉及办理情况同步反馈机关党委（政工办）。对于办理投诉过程中发现的有关海关工作制度或者行政执法中存在的普遍性问题，应及时汇总转有关处室。</w:t>
      </w:r>
      <w:r>
        <w:rPr>
          <w:rFonts w:ascii="方正仿宋_GBK" w:eastAsia="方正仿宋_GBK" w:hint="eastAsia"/>
          <w:vanish w:val="0"/>
          <w:sz w:val="32"/>
          <w:szCs w:val="32"/>
        </w:rPr>
        <w:t>投诉办理流程</w:t>
      </w:r>
      <w:r>
        <w:rPr>
          <w:rFonts w:ascii="方正仿宋_GBK" w:eastAsia="方正仿宋_GBK"/>
          <w:vanish w:val="0"/>
          <w:sz w:val="32"/>
          <w:szCs w:val="32"/>
        </w:rPr>
        <w:t>及职责</w:t>
      </w:r>
      <w:r>
        <w:rPr>
          <w:rFonts w:ascii="方正仿宋_GBK" w:eastAsia="方正仿宋_GBK" w:hint="eastAsia"/>
          <w:vanish w:val="0"/>
          <w:sz w:val="32"/>
          <w:szCs w:val="32"/>
        </w:rPr>
        <w:t>更加清晰</w:t>
      </w:r>
      <w:r>
        <w:rPr>
          <w:rFonts w:hint="eastAsia"/>
          <w:szCs w:val="32"/>
        </w:rPr>
        <w:t>。</w:t>
      </w:r>
    </w:p>
    <w:p>
      <w:pPr>
        <w:pBdr>
          <w:bottom w:val="single" w:sz="4" w:space="31" w:color="FFFFFF"/>
        </w:pBdr>
        <w:adjustRightInd w:val="0"/>
        <w:spacing w:line="560" w:lineRule="exact"/>
        <w:ind w:firstLineChars="200" w:firstLine="640"/>
        <w:contextualSpacing/>
        <w:rPr>
          <w:rFonts w:ascii="方正仿宋_GBK"/>
          <w:szCs w:val="32"/>
        </w:rPr>
      </w:pPr>
      <w:r>
        <w:rPr>
          <w:rFonts w:eastAsia="方正楷体_GBK" w:hint="eastAsia"/>
          <w:b/>
          <w:bCs/>
        </w:rPr>
        <w:t>（二）目前存在问题。</w:t>
      </w:r>
      <w:bookmarkEnd w:id="1"/>
      <w:r>
        <w:rPr>
          <w:rFonts w:ascii="方正仿宋_GBK"/>
          <w:szCs w:val="32"/>
        </w:rPr>
        <w:t>政务公开便民服务在创新性、实用性方面有待进一步加强。</w:t>
      </w:r>
    </w:p>
    <w:p>
      <w:pPr>
        <w:pBdr>
          <w:bottom w:val="single" w:sz="4" w:space="31" w:color="FFFFFF"/>
        </w:pBdr>
        <w:adjustRightInd w:val="0"/>
        <w:spacing w:line="560" w:lineRule="exact"/>
        <w:ind w:firstLineChars="200" w:firstLine="640"/>
        <w:contextualSpacing/>
        <w:rPr>
          <w:rFonts w:eastAsia="方正黑体_GBK" w:cs="楷体_GB2312"/>
          <w:bCs/>
          <w:szCs w:val="32"/>
          <w:shd w:val="clear" w:color="auto" w:fill="FFFFFF"/>
        </w:rPr>
      </w:pPr>
      <w:r>
        <w:rPr>
          <w:rFonts w:eastAsia="方正黑体_GBK" w:cs="楷体_GB2312" w:hint="eastAsia"/>
          <w:bCs/>
          <w:szCs w:val="32"/>
          <w:shd w:val="clear" w:color="auto" w:fill="FFFFFF"/>
        </w:rPr>
        <w:t>六、其他需要报告的事项</w:t>
      </w:r>
    </w:p>
    <w:p>
      <w:pPr>
        <w:pBdr>
          <w:bottom w:val="single" w:sz="4" w:space="31" w:color="FFFFFF"/>
        </w:pBdr>
        <w:adjustRightInd w:val="0"/>
        <w:spacing w:line="560" w:lineRule="exact"/>
        <w:ind w:firstLineChars="200" w:firstLine="624"/>
        <w:contextualSpacing/>
      </w:pPr>
      <w:r>
        <w:rPr>
          <w:rStyle w:val="74"/>
          <w:rFonts w:hint="eastAsia"/>
          <w:spacing w:val="-4"/>
        </w:rPr>
        <w:t>无。</w:t>
      </w:r>
    </w:p>
    <w:sectPr>
      <w:footerReference w:type="first" r:id="rId2"/>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楷体">
    <w:altName w:val="永中楷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Luxi Sans">
    <w:altName w:val="Times New Roman"/>
    <w:panose1 w:val="00000000000000000000"/>
    <w:charset w:val="00"/>
    <w:family w:val="auto"/>
    <w:pitch w:val="variable"/>
    <w:sig w:usb0="00000000" w:usb1="00000000" w:usb2="00000000" w:usb3="00000000" w:csb0="00000000" w:csb1="00000000"/>
  </w:font>
  <w:font w:name="黑体">
    <w:altName w:val="方正黑体_GBK"/>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33"/>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9">
    <w:name w:val="正文6"/>
    <w:pPr>
      <w:widowControl w:val="0"/>
      <w:jc w:val="both"/>
    </w:pPr>
    <w:rPr>
      <w:rFonts w:ascii="Times New Roman" w:eastAsia="方正仿宋_GBK" w:cs="Times New Roman" w:hAnsi="Times New Roman"/>
      <w:kern w:val="2"/>
      <w:sz w:val="32"/>
      <w:szCs w:val="20"/>
      <w:lang w:val="en-US" w:eastAsia="zh-CN" w:bidi="ar-SA"/>
    </w:rPr>
  </w:style>
  <w:style w:type="paragraph" w:customStyle="1" w:styleId="20">
    <w:name w:val="正文5"/>
    <w:pPr>
      <w:widowControl w:val="0"/>
      <w:jc w:val="both"/>
    </w:pPr>
    <w:rPr>
      <w:rFonts w:ascii="Times New Roman" w:eastAsia="方正仿宋_GBK" w:cs="Times New Roman" w:hAnsi="Times New Roman"/>
      <w:kern w:val="2"/>
      <w:sz w:val="32"/>
      <w:szCs w:val="20"/>
      <w:lang w:val="en-US" w:eastAsia="zh-CN" w:bidi="ar-SA"/>
    </w:rPr>
  </w:style>
  <w:style w:type="paragraph" w:customStyle="1" w:styleId="21">
    <w:name w:val="正文4"/>
    <w:pPr>
      <w:widowControl w:val="0"/>
      <w:jc w:val="both"/>
    </w:pPr>
    <w:rPr>
      <w:rFonts w:ascii="Times New Roman" w:eastAsia="方正仿宋_GBK" w:cs="Times New Roman" w:hAnsi="Times New Roman"/>
      <w:kern w:val="2"/>
      <w:sz w:val="32"/>
      <w:szCs w:val="20"/>
      <w:lang w:val="en-US" w:eastAsia="zh-CN" w:bidi="ar-SA"/>
    </w:rPr>
  </w:style>
  <w:style w:type="paragraph" w:customStyle="1" w:styleId="22">
    <w:name w:val="正文3"/>
    <w:pPr>
      <w:widowControl w:val="0"/>
      <w:jc w:val="both"/>
    </w:pPr>
    <w:rPr>
      <w:rFonts w:ascii="Times New Roman" w:eastAsia="方正仿宋_GBK" w:cs="Times New Roman" w:hAnsi="Times New Roman"/>
      <w:kern w:val="2"/>
      <w:sz w:val="32"/>
      <w:szCs w:val="20"/>
      <w:lang w:val="en-US" w:eastAsia="zh-CN" w:bidi="ar-SA"/>
    </w:rPr>
  </w:style>
  <w:style w:type="paragraph" w:customStyle="1" w:styleId="23">
    <w:name w:val="正文2"/>
    <w:pPr>
      <w:widowControl w:val="0"/>
      <w:jc w:val="both"/>
    </w:pPr>
    <w:rPr>
      <w:rFonts w:ascii="Times New Roman" w:eastAsia="方正仿宋_GBK" w:cs="Times New Roman" w:hAnsi="Times New Roman"/>
      <w:kern w:val="2"/>
      <w:sz w:val="32"/>
      <w:szCs w:val="20"/>
      <w:lang w:val="en-US" w:eastAsia="zh-CN" w:bidi="ar-SA"/>
    </w:rPr>
  </w:style>
  <w:style w:type="paragraph" w:customStyle="1" w:styleId="24">
    <w:name w:val="正文1"/>
    <w:pPr>
      <w:widowControl w:val="0"/>
      <w:jc w:val="both"/>
    </w:pPr>
    <w:rPr>
      <w:rFonts w:ascii="Times New Roman" w:eastAsia="方正仿宋_GBK" w:cs="Times New Roman" w:hAnsi="Times New Roman"/>
      <w:kern w:val="2"/>
      <w:sz w:val="32"/>
      <w:szCs w:val="20"/>
      <w:lang w:val="en-US" w:eastAsia="zh-CN" w:bidi="ar-SA"/>
    </w:rPr>
  </w:style>
  <w:style w:type="paragraph" w:styleId="25">
    <w:name w:val="index 5"/>
    <w:basedOn w:val="0"/>
    <w:autoRedefine/>
    <w:next w:val="0"/>
    <w:pPr>
      <w:ind w:left="1680"/>
    </w:pPr>
  </w:style>
  <w:style w:type="paragraph" w:styleId="26">
    <w:name w:val="index 6"/>
    <w:basedOn w:val="0"/>
    <w:autoRedefine/>
    <w:next w:val="0"/>
    <w:pPr>
      <w:ind w:left="2100"/>
    </w:pPr>
  </w:style>
  <w:style w:type="paragraph" w:styleId="27">
    <w:name w:val="index 7"/>
    <w:basedOn w:val="0"/>
    <w:autoRedefine/>
    <w:next w:val="0"/>
    <w:pPr>
      <w:ind w:left="2520"/>
    </w:pPr>
  </w:style>
  <w:style w:type="paragraph" w:styleId="28">
    <w:name w:val="index 8"/>
    <w:basedOn w:val="0"/>
    <w:autoRedefine/>
    <w:next w:val="0"/>
    <w:pPr>
      <w:ind w:left="2940"/>
    </w:pPr>
  </w:style>
  <w:style w:type="paragraph" w:styleId="29">
    <w:name w:val="toc 1"/>
    <w:basedOn w:val="0"/>
    <w:autoRedefine/>
    <w:next w:val="0"/>
  </w:style>
  <w:style w:type="paragraph" w:styleId="30">
    <w:name w:val="toc 2"/>
    <w:basedOn w:val="0"/>
    <w:autoRedefine/>
    <w:next w:val="0"/>
    <w:pPr>
      <w:ind w:left="420"/>
    </w:pPr>
  </w:style>
  <w:style w:type="paragraph" w:styleId="31">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 三号"/>
    <w:next w:val="29"/>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3">
    <w:name w:val="样式 三号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小三"/>
    <w:next w:val="30"/>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1 小四"/>
    <w:next w:val="23"/>
    <w:pPr>
      <w:widowControl w:val="0"/>
    </w:pPr>
    <w:rPr>
      <w:rFonts w:ascii="宋体" w:eastAsia="宋体" w:cs="Times New Roman"/>
      <w:kern w:val="2"/>
      <w:sz w:val="24"/>
      <w:szCs w:val="20"/>
      <w:lang w:val="en-US" w:eastAsia="zh-CN" w:bidi="ar-SA"/>
    </w:rPr>
  </w:style>
  <w:style w:type="paragraph" w:customStyle="1" w:styleId="36">
    <w:name w:val="样式 6 小四"/>
    <w:next w:val="24"/>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7">
    <w:name w:val="样式 20 小四"/>
    <w:next w:val="25"/>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8">
    <w:name w:val="样式 12 三号"/>
    <w:next w:val="28"/>
    <w:pPr>
      <w:widowControl w:val="0"/>
      <w:jc w:val="both"/>
    </w:pPr>
    <w:rPr>
      <w:rFonts w:ascii="Times New Roman" w:eastAsia="方正仿宋_GBK" w:cs="Times New Roman" w:hAnsi="Times New Roman"/>
      <w:kern w:val="2"/>
      <w:sz w:val="32"/>
      <w:szCs w:val="20"/>
      <w:lang w:val="en-US" w:eastAsia="zh-CN" w:bidi="ar-SA"/>
    </w:rPr>
  </w:style>
  <w:style w:type="paragraph" w:customStyle="1" w:styleId="39">
    <w:name w:val="样式 50 三号"/>
    <w:next w:val="26"/>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0">
    <w:name w:val="样式 13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2">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6">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7">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8">
    <w:name w:val="样式 小四"/>
    <w:pPr>
      <w:widowControl w:val="0"/>
    </w:pPr>
    <w:rPr>
      <w:rFonts w:ascii="宋体" w:eastAsia="宋体" w:cs="Times New Roman"/>
      <w:kern w:val="2"/>
      <w:sz w:val="24"/>
      <w:szCs w:val="20"/>
      <w:lang w:val="en-US" w:eastAsia="zh-CN" w:bidi="ar-SA"/>
    </w:rPr>
  </w:style>
  <w:style w:type="paragraph" w:customStyle="1" w:styleId="49">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4">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5">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6">
    <w:name w:val="样式 3 小四"/>
    <w:pPr>
      <w:widowControl w:val="0"/>
    </w:pPr>
    <w:rPr>
      <w:rFonts w:ascii="宋体" w:eastAsia="宋体" w:cs="Times New Roman"/>
      <w:kern w:val="2"/>
      <w:sz w:val="24"/>
      <w:szCs w:val="20"/>
      <w:lang w:val="en-US" w:eastAsia="zh-CN" w:bidi="ar-SA"/>
    </w:rPr>
  </w:style>
  <w:style w:type="paragraph" w:styleId="57">
    <w:name w:val="List Number 2"/>
    <w:basedOn w:val="0"/>
    <w:pPr>
      <w:tabs>
        <w:tab w:val="left" w:pos="780"/>
      </w:tabs>
      <w:ind w:left="780" w:hanging="360"/>
    </w:pPr>
  </w:style>
  <w:style w:type="paragraph" w:customStyle="1" w:styleId="58">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20 小三"/>
    <w:pPr>
      <w:widowControl w:val="0"/>
      <w:jc w:val="both"/>
    </w:pPr>
    <w:rPr>
      <w:rFonts w:ascii="Times New Roman" w:eastAsia="宋体" w:cs="Times New Roman" w:hAnsi="Times New Roman"/>
      <w:kern w:val="2"/>
      <w:sz w:val="30"/>
      <w:szCs w:val="30"/>
      <w:lang w:val="en-US" w:eastAsia="zh-CN" w:bidi="ar-SA"/>
    </w:rPr>
  </w:style>
  <w:style w:type="character" w:customStyle="1" w:styleId="74">
    <w:name w:val="labelstyle3"/>
    <w:basedOn w:val="10"/>
  </w:style>
  <w:style w:type="character" w:customStyle="1" w:styleId="75">
    <w:name w:val="im-content1"/>
    <w:basedOn w:val="10"/>
    <w:rPr>
      <w:vanish w:val="0"/>
      <w:color w:val="000000"/>
    </w:rPr>
  </w:style>
  <w:style w:type="paragraph" w:customStyle="1" w:styleId="76">
    <w:name w:val="样式 18 10 磅"/>
    <w:pPr>
      <w:widowControl w:val="0"/>
      <w:jc w:val="both"/>
    </w:pPr>
    <w:rPr>
      <w:rFonts w:ascii="Calibri" w:eastAsia="宋体" w:cs="Arial" w:hAnsi="Calibri"/>
      <w:kern w:val="2"/>
      <w:sz w:val="21"/>
      <w:szCs w:val="22"/>
      <w:lang w:val="en-US" w:eastAsia="zh-CN" w:bidi="ar-SA"/>
    </w:rPr>
  </w:style>
  <w:style w:type="paragraph" w:customStyle="1" w:styleId="77">
    <w:name w:val="样式 22 10 磅"/>
    <w:pPr>
      <w:widowControl w:val="0"/>
      <w:jc w:val="both"/>
    </w:pPr>
    <w:rPr>
      <w:rFonts w:ascii="Calibri" w:eastAsia="宋体" w:cs="Arial" w:hAnsi="Calibri"/>
      <w:kern w:val="2"/>
      <w:sz w:val="21"/>
      <w:szCs w:val="22"/>
      <w:lang w:val="en-US" w:eastAsia="zh-CN" w:bidi="ar-SA"/>
    </w:rPr>
  </w:style>
  <w:style w:type="paragraph" w:customStyle="1" w:styleId="78">
    <w:name w:val="样式 124 三号"/>
    <w:pPr>
      <w:widowControl w:val="0"/>
      <w:jc w:val="both"/>
    </w:pPr>
    <w:rPr>
      <w:rFonts w:ascii="Calibri" w:eastAsia="方正仿宋_GBK" w:cs="Times New Roman" w:hAnsi="Calibri"/>
      <w:kern w:val="2"/>
      <w:sz w:val="32"/>
      <w:szCs w:val="22"/>
      <w:lang w:val="en-US" w:eastAsia="zh-CN" w:bidi="ar-SA"/>
    </w:rPr>
  </w:style>
  <w:style w:type="character" w:styleId="79">
    <w:name w:val="FollowedHyperlink"/>
    <w:basedOn w:val="10"/>
    <w:rPr>
      <w:color w:val="800080"/>
      <w:u w:val="single"/>
    </w:rPr>
  </w:style>
  <w:style w:type="paragraph" w:customStyle="1" w:styleId="80">
    <w:name w:val="样式 10 磅"/>
    <w:pPr>
      <w:widowControl w:val="0"/>
      <w:spacing w:before="100" w:beforeAutospacing="1" w:after="100" w:afterAutospacing="1" w:line="560" w:lineRule="exact"/>
      <w:jc w:val="both"/>
    </w:pPr>
    <w:rPr>
      <w:rFonts w:ascii="Calibri" w:eastAsia="宋体" w:cs="Times New Roman" w:hAnsi="Calibri"/>
      <w:kern w:val="2"/>
      <w:sz w:val="21"/>
      <w:szCs w:val="22"/>
      <w:lang w:val="en-US" w:eastAsia="zh-CN" w:bidi="ar-SA"/>
    </w:rPr>
  </w:style>
  <w:style w:type="paragraph" w:customStyle="1" w:styleId="81">
    <w:name w:val="样式 11 三号"/>
    <w:pPr>
      <w:widowControl w:val="0"/>
      <w:jc w:val="both"/>
    </w:pPr>
    <w:rPr>
      <w:rFonts w:ascii="Times New Roman" w:eastAsia="方正仿宋_GBK" w:cs="Times New Roman" w:hAnsi="Times New Roman"/>
      <w:kern w:val="2"/>
      <w:sz w:val="32"/>
      <w:szCs w:val="22"/>
      <w:lang w:val="en-US" w:eastAsia="zh-CN" w:bidi="ar-SA"/>
    </w:rPr>
  </w:style>
  <w:style w:type="character" w:styleId="82">
    <w:name w:val="footnote reference"/>
    <w:rPr>
      <w:vertAlign w:val="superscript"/>
    </w:rPr>
  </w:style>
  <w:style w:type="paragraph" w:customStyle="1" w:styleId="83">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4">
    <w:name w:val="样式 1 10 磅"/>
    <w:next w:val="15"/>
    <w:pPr>
      <w:widowControl w:val="0"/>
      <w:jc w:val="both"/>
    </w:pPr>
    <w:rPr>
      <w:rFonts w:ascii="Calibri" w:eastAsia="宋体" w:cs="Times New Roman" w:hAnsi="Calibri"/>
      <w:kern w:val="2"/>
      <w:sz w:val="21"/>
      <w:szCs w:val="22"/>
      <w:lang w:val="en-US" w:eastAsia="zh-CN" w:bidi="ar-SA"/>
    </w:rPr>
  </w:style>
  <w:style w:type="paragraph" w:customStyle="1" w:styleId="85">
    <w:name w:val="样式 小五"/>
    <w:pPr>
      <w:widowControl w:val="0"/>
      <w:snapToGrid w:val="0"/>
    </w:pPr>
    <w:rPr>
      <w:rFonts w:ascii="Calibri" w:eastAsia="宋体" w:cs="Times New Roman" w:hAnsi="Calibri"/>
      <w:kern w:val="2"/>
      <w:sz w:val="18"/>
      <w:szCs w:val="18"/>
      <w:lang w:val="en-US" w:eastAsia="zh-CN" w:bidi="ar-SA"/>
    </w:rPr>
  </w:style>
  <w:style w:type="paragraph" w:customStyle="1" w:styleId="86">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styleId="87">
    <w:name w:val="footnote text"/>
    <w:next w:val="0"/>
    <w:pPr>
      <w:widowControl w:val="0"/>
      <w:snapToGrid w:val="0"/>
    </w:pPr>
    <w:rPr>
      <w:rFonts w:ascii="Calibri" w:eastAsia="宋体" w:cs="Times New Roman" w:hAnsi="Calibri"/>
      <w:kern w:val="2"/>
      <w:sz w:val="18"/>
      <w:szCs w:val="18"/>
      <w:lang w:val="en-US" w:eastAsia="zh-CN" w:bidi="ar-SA"/>
    </w:rPr>
  </w:style>
  <w:style w:type="paragraph" w:customStyle="1" w:styleId="88">
    <w:name w:val="样式 76 10 磅"/>
    <w:pPr>
      <w:widowControl w:val="0"/>
      <w:jc w:val="both"/>
    </w:pPr>
    <w:rPr>
      <w:rFonts w:ascii="Calibri" w:eastAsia="宋体" w:cs="Arial" w:hAnsi="Calibri"/>
      <w:kern w:val="2"/>
      <w:sz w:val="21"/>
      <w:szCs w:val="22"/>
      <w:lang w:val="en-US" w:eastAsia="zh-CN" w:bidi="ar-SA"/>
    </w:rPr>
  </w:style>
  <w:style w:type="paragraph" w:customStyle="1" w:styleId="89">
    <w:name w:val="样式 2 10 磅"/>
    <w:pPr>
      <w:widowControl w:val="0"/>
      <w:jc w:val="both"/>
    </w:pPr>
    <w:rPr>
      <w:rFonts w:ascii="Calibri" w:eastAsia="宋体" w:cs="Times New Roman" w:hAnsi="Calibri"/>
      <w:kern w:val="2"/>
      <w:sz w:val="21"/>
      <w:szCs w:val="22"/>
      <w:lang w:val="en-US" w:eastAsia="zh-CN" w:bidi="ar-SA"/>
    </w:rPr>
  </w:style>
  <w:style w:type="paragraph" w:customStyle="1" w:styleId="90">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3">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3 10 磅"/>
    <w:pPr>
      <w:widowControl w:val="0"/>
      <w:jc w:val="both"/>
    </w:pPr>
    <w:rPr>
      <w:rFonts w:ascii="Calibri" w:eastAsia="宋体" w:cs="Times New Roman" w:hAnsi="Calibri"/>
      <w:kern w:val="2"/>
      <w:sz w:val="21"/>
      <w:szCs w:val="22"/>
      <w:lang w:val="en-US" w:eastAsia="zh-CN" w:bidi="ar-SA"/>
    </w:rPr>
  </w:style>
  <w:style w:type="paragraph" w:customStyle="1" w:styleId="110">
    <w:name w:val="样式 4 10 磅"/>
    <w:pPr>
      <w:widowControl w:val="0"/>
      <w:jc w:val="both"/>
    </w:pPr>
    <w:rPr>
      <w:rFonts w:ascii="Calibri" w:eastAsia="宋体" w:cs="Times New Roman" w:hAnsi="Calibri"/>
      <w:kern w:val="2"/>
      <w:sz w:val="21"/>
      <w:szCs w:val="22"/>
      <w:lang w:val="en-US" w:eastAsia="zh-CN" w:bidi="ar-SA"/>
    </w:rPr>
  </w:style>
  <w:style w:type="paragraph" w:customStyle="1" w:styleId="111">
    <w:name w:val="样式 5 10 磅"/>
    <w:pPr>
      <w:widowControl w:val="0"/>
      <w:jc w:val="both"/>
    </w:pPr>
    <w:rPr>
      <w:rFonts w:ascii="Calibri" w:eastAsia="宋体" w:cs="Times New Roman" w:hAnsi="Calibri"/>
      <w:kern w:val="2"/>
      <w:sz w:val="21"/>
      <w:szCs w:val="22"/>
      <w:lang w:val="en-US" w:eastAsia="zh-CN" w:bidi="ar-SA"/>
    </w:rPr>
  </w:style>
  <w:style w:type="paragraph" w:customStyle="1" w:styleId="112">
    <w:name w:val="样式 6 10 磅"/>
    <w:pPr>
      <w:widowControl w:val="0"/>
      <w:jc w:val="both"/>
    </w:pPr>
    <w:rPr>
      <w:rFonts w:ascii="Calibri" w:eastAsia="宋体" w:cs="Times New Roman" w:hAnsi="Calibri"/>
      <w:kern w:val="2"/>
      <w:sz w:val="21"/>
      <w:szCs w:val="22"/>
      <w:lang w:val="en-US" w:eastAsia="zh-CN" w:bidi="ar-SA"/>
    </w:rPr>
  </w:style>
  <w:style w:type="paragraph" w:customStyle="1" w:styleId="113">
    <w:name w:val="样式 7 10 磅"/>
    <w:pPr>
      <w:widowControl w:val="0"/>
      <w:jc w:val="both"/>
    </w:pPr>
    <w:rPr>
      <w:rFonts w:ascii="Calibri" w:eastAsia="宋体" w:cs="Times New Roman" w:hAnsi="Calibri"/>
      <w:kern w:val="2"/>
      <w:sz w:val="21"/>
      <w:szCs w:val="22"/>
      <w:lang w:val="en-US" w:eastAsia="zh-CN" w:bidi="ar-SA"/>
    </w:rPr>
  </w:style>
  <w:style w:type="paragraph" w:customStyle="1" w:styleId="114">
    <w:name w:val="样式 8 10 磅"/>
    <w:pPr>
      <w:widowControl w:val="0"/>
      <w:jc w:val="both"/>
    </w:pPr>
    <w:rPr>
      <w:rFonts w:ascii="Calibri" w:eastAsia="宋体" w:cs="Times New Roman" w:hAnsi="Calibri"/>
      <w:kern w:val="2"/>
      <w:sz w:val="21"/>
      <w:szCs w:val="22"/>
      <w:lang w:val="en-US" w:eastAsia="zh-CN" w:bidi="ar-SA"/>
    </w:rPr>
  </w:style>
  <w:style w:type="paragraph" w:customStyle="1" w:styleId="115">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16">
    <w:name w:val="样式 9 10 磅"/>
    <w:pPr>
      <w:widowControl w:val="0"/>
      <w:jc w:val="both"/>
    </w:pPr>
    <w:rPr>
      <w:rFonts w:ascii="Calibri" w:eastAsia="宋体" w:cs="Times New Roman" w:hAnsi="Calibri"/>
      <w:kern w:val="2"/>
      <w:sz w:val="21"/>
      <w:szCs w:val="22"/>
      <w:lang w:val="en-US" w:eastAsia="zh-CN" w:bidi="ar-SA"/>
    </w:rPr>
  </w:style>
  <w:style w:type="paragraph" w:customStyle="1" w:styleId="117">
    <w:name w:val="样式 10 10 磅"/>
    <w:pPr>
      <w:widowControl w:val="0"/>
      <w:jc w:val="both"/>
    </w:pPr>
    <w:rPr>
      <w:rFonts w:ascii="Calibri" w:eastAsia="宋体" w:cs="Times New Roman" w:hAnsi="Calibri"/>
      <w:kern w:val="2"/>
      <w:sz w:val="21"/>
      <w:szCs w:val="22"/>
      <w:lang w:val="en-US" w:eastAsia="zh-CN" w:bidi="ar-SA"/>
    </w:rPr>
  </w:style>
  <w:style w:type="paragraph" w:customStyle="1" w:styleId="118">
    <w:name w:val="样式 11 10 磅"/>
    <w:pPr>
      <w:widowControl w:val="0"/>
      <w:jc w:val="both"/>
    </w:pPr>
    <w:rPr>
      <w:rFonts w:ascii="Calibri" w:eastAsia="宋体" w:cs="Times New Roman" w:hAnsi="Calibri"/>
      <w:kern w:val="2"/>
      <w:sz w:val="21"/>
      <w:szCs w:val="22"/>
      <w:lang w:val="en-US" w:eastAsia="zh-CN" w:bidi="ar-SA"/>
    </w:rPr>
  </w:style>
  <w:style w:type="paragraph" w:customStyle="1" w:styleId="119">
    <w:name w:val="样式 12 10 磅"/>
    <w:pPr>
      <w:widowControl w:val="0"/>
      <w:jc w:val="both"/>
    </w:pPr>
    <w:rPr>
      <w:rFonts w:ascii="Calibri" w:eastAsia="宋体" w:cs="Times New Roman" w:hAnsi="Calibri"/>
      <w:kern w:val="2"/>
      <w:sz w:val="21"/>
      <w:szCs w:val="22"/>
      <w:lang w:val="en-US" w:eastAsia="zh-CN" w:bidi="ar-SA"/>
    </w:rPr>
  </w:style>
  <w:style w:type="paragraph" w:customStyle="1" w:styleId="120">
    <w:name w:val="样式 13 10 磅"/>
    <w:pPr>
      <w:widowControl w:val="0"/>
      <w:jc w:val="both"/>
    </w:pPr>
    <w:rPr>
      <w:rFonts w:ascii="Calibri" w:eastAsia="宋体" w:cs="Times New Roman" w:hAnsi="Calibri"/>
      <w:kern w:val="2"/>
      <w:sz w:val="21"/>
      <w:szCs w:val="22"/>
      <w:lang w:val="en-US" w:eastAsia="zh-CN" w:bidi="ar-SA"/>
    </w:rPr>
  </w:style>
  <w:style w:type="paragraph" w:customStyle="1" w:styleId="121">
    <w:name w:val="样式 1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122">
    <w:name w:val="样式 15 10 磅"/>
    <w:pPr>
      <w:widowControl w:val="0"/>
      <w:jc w:val="both"/>
    </w:pPr>
    <w:rPr>
      <w:rFonts w:ascii="Calibri" w:eastAsia="宋体" w:cs="Times New Roman" w:hAnsi="Calibri"/>
      <w:kern w:val="2"/>
      <w:sz w:val="21"/>
      <w:szCs w:val="22"/>
      <w:lang w:val="en-US" w:eastAsia="zh-CN" w:bidi="ar-SA"/>
    </w:rPr>
  </w:style>
  <w:style w:type="paragraph" w:customStyle="1" w:styleId="123">
    <w:name w:val="样式 16 10 磅"/>
    <w:pPr>
      <w:widowControl w:val="0"/>
      <w:jc w:val="both"/>
    </w:pPr>
    <w:rPr>
      <w:rFonts w:ascii="Calibri" w:eastAsia="宋体" w:cs="Times New Roman" w:hAnsi="Calibri"/>
      <w:kern w:val="2"/>
      <w:sz w:val="21"/>
      <w:szCs w:val="22"/>
      <w:lang w:val="en-US" w:eastAsia="zh-CN" w:bidi="ar-SA"/>
    </w:rPr>
  </w:style>
  <w:style w:type="paragraph" w:customStyle="1" w:styleId="124">
    <w:name w:val="样式 17 10 磅"/>
    <w:pPr>
      <w:widowControl w:val="0"/>
      <w:jc w:val="both"/>
    </w:pPr>
    <w:rPr>
      <w:rFonts w:ascii="Calibri" w:eastAsia="宋体" w:cs="Times New Roman" w:hAnsi="Calibri"/>
      <w:kern w:val="2"/>
      <w:sz w:val="21"/>
      <w:szCs w:val="22"/>
      <w:lang w:val="en-US" w:eastAsia="zh-CN" w:bidi="ar-SA"/>
    </w:rPr>
  </w:style>
  <w:style w:type="paragraph" w:customStyle="1" w:styleId="125">
    <w:name w:val="样式 1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126">
    <w:name w:val="样式 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127">
    <w:name w:val="样式 21 10 磅"/>
    <w:pPr>
      <w:widowControl w:val="0"/>
      <w:jc w:val="both"/>
    </w:pPr>
    <w:rPr>
      <w:rFonts w:ascii="Calibri" w:eastAsia="宋体" w:cs="Times New Roman" w:hAnsi="Calibri"/>
      <w:kern w:val="2"/>
      <w:sz w:val="21"/>
      <w:szCs w:val="22"/>
      <w:lang w:val="en-US" w:eastAsia="zh-CN" w:bidi="ar-SA"/>
    </w:rPr>
  </w:style>
  <w:style w:type="paragraph" w:customStyle="1" w:styleId="128">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29">
    <w:name w:val="样式 23 10 磅"/>
    <w:pPr>
      <w:widowControl w:val="0"/>
      <w:jc w:val="both"/>
    </w:pPr>
    <w:rPr>
      <w:rFonts w:ascii="Calibri" w:eastAsia="宋体" w:cs="Times New Roman" w:hAnsi="Calibri"/>
      <w:kern w:val="2"/>
      <w:sz w:val="21"/>
      <w:szCs w:val="22"/>
      <w:lang w:val="en-US" w:eastAsia="zh-CN" w:bidi="ar-SA"/>
    </w:rPr>
  </w:style>
  <w:style w:type="paragraph" w:customStyle="1" w:styleId="130">
    <w:name w:val="样式 2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131">
    <w:name w:val="样式 2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bCs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132">
    <w:name w:val="样式 2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bCs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133">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bCs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134">
    <w:name w:val="样式 4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236</TotalTime>
  <Application>Yozo_Office</Application>
  <Pages>1</Pages>
  <Words>24</Words>
  <Characters>27</Characters>
  <Lines>2</Lines>
  <Paragraphs>2</Paragraphs>
  <CharactersWithSpaces>27</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李洋</cp:lastModifiedBy>
  <cp:revision>3</cp:revision>
  <cp:lastPrinted>2021-11-30T07:27:00Z</cp:lastPrinted>
  <dcterms:created xsi:type="dcterms:W3CDTF">2023-01-30T11:05:00Z</dcterms:created>
  <dcterms:modified xsi:type="dcterms:W3CDTF">2023-01-31T11:26:21Z</dcterms:modified>
</cp:coreProperties>
</file>