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7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2" w:name="_GoBack"/>
      <w:bookmarkStart w:id="0" w:name="_Hlk25540369"/>
      <w:bookmarkStart w:id="1" w:name="cogw__正文__file"/>
      <w:r>
        <w:rPr>
          <w:rFonts w:hint="eastAsia" w:ascii="方正小标宋_GBK" w:eastAsia="方正小标宋_GBK" w:cs="方正小标宋_GBK"/>
          <w:sz w:val="44"/>
          <w:szCs w:val="44"/>
        </w:rPr>
        <w:t>长沙海关（本级机关）2021年政府信息公开</w:t>
      </w:r>
    </w:p>
    <w:p>
      <w:pPr>
        <w:pStyle w:val="37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工作年度报告</w:t>
      </w:r>
      <w:bookmarkEnd w:id="0"/>
    </w:p>
    <w:bookmarkEnd w:id="2"/>
    <w:p>
      <w:pPr>
        <w:pStyle w:val="13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>
      <w:pPr>
        <w:pStyle w:val="13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</w:rPr>
        <w:t>一、总体情况</w:t>
      </w:r>
    </w:p>
    <w:p>
      <w:pPr>
        <w:pStyle w:val="31"/>
        <w:adjustRightInd w:val="0"/>
        <w:snapToGrid w:val="0"/>
        <w:ind w:firstLine="624" w:firstLineChars="200"/>
        <w:rPr>
          <w:rStyle w:val="65"/>
          <w:spacing w:val="0"/>
          <w:szCs w:val="32"/>
        </w:rPr>
      </w:pPr>
      <w:r>
        <w:rPr>
          <w:rStyle w:val="65"/>
          <w:bCs/>
        </w:rPr>
        <w:t>202</w:t>
      </w:r>
      <w:r>
        <w:rPr>
          <w:rStyle w:val="65"/>
          <w:rFonts w:hint="eastAsia"/>
          <w:bCs/>
        </w:rPr>
        <w:t>1</w:t>
      </w:r>
      <w:r>
        <w:rPr>
          <w:rStyle w:val="65"/>
          <w:bCs/>
        </w:rPr>
        <w:t>年，长沙海关</w:t>
      </w:r>
      <w:r>
        <w:rPr>
          <w:kern w:val="0"/>
          <w:szCs w:val="32"/>
        </w:rPr>
        <w:t>坚持以习近平新时代中国特色社会主义思想为指导，认真</w:t>
      </w:r>
      <w:r>
        <w:rPr>
          <w:rFonts w:hint="eastAsia"/>
          <w:kern w:val="0"/>
          <w:szCs w:val="32"/>
        </w:rPr>
        <w:t>贯彻《</w:t>
      </w:r>
      <w:r>
        <w:rPr>
          <w:rFonts w:hint="eastAsia" w:cs="Arial"/>
          <w:szCs w:val="32"/>
        </w:rPr>
        <w:t>中华人民共和国</w:t>
      </w:r>
      <w:r>
        <w:rPr>
          <w:rFonts w:hint="eastAsia"/>
          <w:kern w:val="0"/>
          <w:szCs w:val="32"/>
        </w:rPr>
        <w:t>政府信息公开条例》，</w:t>
      </w:r>
      <w:r>
        <w:rPr>
          <w:kern w:val="0"/>
          <w:szCs w:val="32"/>
        </w:rPr>
        <w:t>组织各部门、单位按照</w:t>
      </w:r>
      <w:r>
        <w:rPr>
          <w:rFonts w:hint="eastAsia" w:cs="Arial"/>
          <w:szCs w:val="32"/>
        </w:rPr>
        <w:t>《</w:t>
      </w:r>
      <w:r>
        <w:rPr>
          <w:szCs w:val="32"/>
        </w:rPr>
        <w:t>202</w:t>
      </w:r>
      <w:r>
        <w:rPr>
          <w:rFonts w:hint="eastAsia"/>
          <w:szCs w:val="32"/>
        </w:rPr>
        <w:t>1</w:t>
      </w:r>
      <w:r>
        <w:rPr>
          <w:rFonts w:hint="eastAsia" w:cs="Arial"/>
          <w:szCs w:val="32"/>
        </w:rPr>
        <w:t>年海关政务公开工作要点》的部署要求</w:t>
      </w:r>
      <w:r>
        <w:rPr>
          <w:rStyle w:val="65"/>
          <w:bCs/>
        </w:rPr>
        <w:t>开展</w:t>
      </w:r>
      <w:r>
        <w:rPr>
          <w:rStyle w:val="65"/>
          <w:rFonts w:hint="eastAsia"/>
          <w:bCs/>
        </w:rPr>
        <w:t>政府</w:t>
      </w:r>
      <w:r>
        <w:rPr>
          <w:rStyle w:val="65"/>
          <w:bCs/>
        </w:rPr>
        <w:t>信息公开工作</w:t>
      </w:r>
      <w:r>
        <w:rPr>
          <w:rStyle w:val="65"/>
          <w:rFonts w:hint="eastAsia"/>
          <w:bCs/>
        </w:rPr>
        <w:t>。</w:t>
      </w:r>
      <w:r>
        <w:rPr>
          <w:rStyle w:val="65"/>
          <w:bCs/>
        </w:rPr>
        <w:t>本年度</w:t>
      </w:r>
      <w:r>
        <w:rPr>
          <w:rStyle w:val="65"/>
          <w:rFonts w:hint="eastAsia"/>
          <w:bCs/>
        </w:rPr>
        <w:t>主要情况</w:t>
      </w:r>
      <w:r>
        <w:rPr>
          <w:rStyle w:val="65"/>
          <w:bCs/>
        </w:rPr>
        <w:t>如下：</w:t>
      </w:r>
    </w:p>
    <w:p>
      <w:pPr>
        <w:spacing w:line="560" w:lineRule="exact"/>
        <w:ind w:firstLine="640" w:firstLineChars="200"/>
        <w:rPr>
          <w:szCs w:val="32"/>
        </w:rPr>
      </w:pPr>
      <w:r>
        <w:rPr>
          <w:rFonts w:hint="eastAsia" w:ascii="方正楷体_GBK" w:eastAsia="方正楷体_GBK"/>
          <w:szCs w:val="32"/>
        </w:rPr>
        <w:t>（一）不断提升主动公开的广度和深度。</w:t>
      </w:r>
      <w:r>
        <w:rPr>
          <w:rFonts w:hint="eastAsia"/>
          <w:szCs w:val="32"/>
        </w:rPr>
        <w:t>通过制度和考核标准调整进一步推动重点领域主动公开。年内主要通过“1+4”的</w:t>
      </w:r>
      <w:r>
        <w:rPr>
          <w:szCs w:val="32"/>
        </w:rPr>
        <w:t>工作</w:t>
      </w:r>
      <w:r>
        <w:rPr>
          <w:rFonts w:hint="eastAsia"/>
          <w:szCs w:val="32"/>
        </w:rPr>
        <w:t>框架</w:t>
      </w:r>
      <w:r>
        <w:rPr>
          <w:szCs w:val="32"/>
        </w:rPr>
        <w:t>，统筹推进基层政务公开标准化规范化</w:t>
      </w:r>
      <w:r>
        <w:rPr>
          <w:rFonts w:hint="eastAsia"/>
          <w:szCs w:val="32"/>
        </w:rPr>
        <w:t>：</w:t>
      </w:r>
      <w:r>
        <w:rPr>
          <w:szCs w:val="32"/>
        </w:rPr>
        <w:t>制定《长沙海关落实&lt;2021年海关政务公开工作要点&gt;细化措施及分工方案》，</w:t>
      </w:r>
      <w:r>
        <w:rPr>
          <w:rFonts w:hint="eastAsia"/>
          <w:szCs w:val="32"/>
        </w:rPr>
        <w:t>并适时</w:t>
      </w:r>
      <w:r>
        <w:rPr>
          <w:szCs w:val="32"/>
        </w:rPr>
        <w:t>修订了《长沙海关政府信息公开工作规程》《长沙海关政府信息公开审查规程》《</w:t>
      </w:r>
      <w:r>
        <w:fldChar w:fldCharType="begin"/>
      </w:r>
      <w:r>
        <w:instrText xml:space="preserve"> HYPERLINK "javascript:hbdocumentview('65cefea4-eabb-4ca4-9c7b-ab971558013d','','NBZD');" </w:instrText>
      </w:r>
      <w:r>
        <w:fldChar w:fldCharType="separate"/>
      </w:r>
      <w:r>
        <w:rPr>
          <w:szCs w:val="32"/>
        </w:rPr>
        <w:t>长沙海关12360服务热线工作管理办法</w:t>
      </w:r>
      <w:r>
        <w:rPr>
          <w:szCs w:val="32"/>
        </w:rPr>
        <w:fldChar w:fldCharType="end"/>
      </w:r>
      <w:r>
        <w:rPr>
          <w:szCs w:val="32"/>
        </w:rPr>
        <w:t>》，</w:t>
      </w:r>
      <w:r>
        <w:rPr>
          <w:rFonts w:hint="eastAsia"/>
          <w:szCs w:val="32"/>
        </w:rPr>
        <w:t>制</w:t>
      </w:r>
      <w:r>
        <w:rPr>
          <w:szCs w:val="32"/>
        </w:rPr>
        <w:t>发</w:t>
      </w:r>
      <w:r>
        <w:rPr>
          <w:rFonts w:hint="eastAsia"/>
          <w:szCs w:val="32"/>
        </w:rPr>
        <w:t>《关于明确窗口建设有关事项的通知》；大力推动开展政策解读工作，针对企业和群众关心的“疫情防控”“六稳</w:t>
      </w:r>
      <w:r>
        <w:rPr>
          <w:rFonts w:hint="eastAsia"/>
          <w:szCs w:val="32"/>
          <w:lang w:eastAsia="zh-CN"/>
        </w:rPr>
        <w:t>”“</w:t>
      </w:r>
      <w:r>
        <w:rPr>
          <w:rFonts w:hint="eastAsia"/>
          <w:szCs w:val="32"/>
        </w:rPr>
        <w:t>六保”等工作在门户网站开设专栏，年内在本级门户网站、新媒体发布原创政策解读稿件78篇次，在总署门户网站、新媒体发布稿件37篇次，</w:t>
      </w:r>
      <w:r>
        <w:rPr>
          <w:szCs w:val="32"/>
        </w:rPr>
        <w:t>均创新高。</w:t>
      </w:r>
    </w:p>
    <w:p>
      <w:pPr>
        <w:spacing w:line="560" w:lineRule="exact"/>
        <w:ind w:firstLine="640" w:firstLineChars="200"/>
        <w:rPr>
          <w:szCs w:val="32"/>
        </w:rPr>
      </w:pPr>
      <w:r>
        <w:rPr>
          <w:rFonts w:hint="eastAsia" w:ascii="方正楷体_GBK" w:eastAsia="方正楷体_GBK"/>
          <w:szCs w:val="32"/>
        </w:rPr>
        <w:t>（二）进一步加强政府信息公开平台建设。</w:t>
      </w:r>
      <w:r>
        <w:rPr>
          <w:szCs w:val="32"/>
        </w:rPr>
        <w:t>全面优化栏目设置、划分责任分工，实现41个主要栏目“划片管理、归口到处、责任到人”，对信息发布的频次、格式等都提出明确要求</w:t>
      </w:r>
      <w:r>
        <w:rPr>
          <w:rFonts w:hint="eastAsia"/>
          <w:szCs w:val="32"/>
        </w:rPr>
        <w:t>；有序推进“关银一KEY通”项目实施推广</w:t>
      </w:r>
      <w:r>
        <w:rPr>
          <w:szCs w:val="32"/>
        </w:rPr>
        <w:t>。</w:t>
      </w:r>
      <w:r>
        <w:rPr>
          <w:rFonts w:hint="eastAsia"/>
          <w:szCs w:val="32"/>
        </w:rPr>
        <w:t>实现合作制卡代理点</w:t>
      </w:r>
      <w:r>
        <w:rPr>
          <w:szCs w:val="32"/>
        </w:rPr>
        <w:t>湖南</w:t>
      </w:r>
      <w:r>
        <w:rPr>
          <w:rFonts w:hint="eastAsia"/>
          <w:szCs w:val="32"/>
        </w:rPr>
        <w:t>省内14个地市州全覆盖，合作制卡代理点共21个，开通数列全国各直属关第一位；</w:t>
      </w:r>
      <w:r>
        <w:rPr>
          <w:szCs w:val="32"/>
        </w:rPr>
        <w:t>持续推进政务公开智能服务台建设，拓展信息内容，做好在7个业务量较大的隶属海关的推广使用</w:t>
      </w:r>
      <w:r>
        <w:rPr>
          <w:rFonts w:hint="eastAsia"/>
        </w:rPr>
        <w:t>；</w:t>
      </w:r>
      <w:r>
        <w:rPr>
          <w:szCs w:val="32"/>
        </w:rPr>
        <w:t>大力推动12360热线入驻湖南自贸区长沙片区综合服务中心，打造线上线下综合办事服务平台；省内主流媒体多次对我关12360热线的相关工作开展报道。</w:t>
      </w:r>
    </w:p>
    <w:p>
      <w:pPr>
        <w:spacing w:line="560" w:lineRule="exact"/>
        <w:ind w:firstLine="640" w:firstLineChars="200"/>
        <w:rPr>
          <w:szCs w:val="32"/>
        </w:rPr>
      </w:pPr>
      <w:r>
        <w:rPr>
          <w:rFonts w:hint="eastAsia" w:ascii="方正楷体_GBK" w:eastAsia="方正楷体_GBK"/>
          <w:szCs w:val="32"/>
        </w:rPr>
        <w:t>（三）持续提升政务公开监督保障能力。</w:t>
      </w:r>
      <w:r>
        <w:rPr>
          <w:rFonts w:hint="eastAsia"/>
          <w:szCs w:val="32"/>
        </w:rPr>
        <w:t>今年以来，共4次通过督办单形式对各部门单位的政务公开工作进行督办检查；针对制度和工作的要求变化开展2场政务公开专项培训，培训人员共计433人次；编制《办文办事实用手册》，突出操作性，为各部门单位政务公开工作提供实务指导。</w:t>
      </w:r>
    </w:p>
    <w:p>
      <w:pPr>
        <w:spacing w:line="560" w:lineRule="exact"/>
        <w:ind w:firstLine="640" w:firstLineChars="200"/>
        <w:rPr>
          <w:rFonts w:ascii="方正楷体_GBK" w:eastAsia="方正楷体_GBK"/>
          <w:szCs w:val="32"/>
        </w:rPr>
      </w:pPr>
      <w:r>
        <w:rPr>
          <w:rFonts w:hint="eastAsia" w:ascii="方正楷体_GBK" w:eastAsia="方正楷体_GBK"/>
          <w:szCs w:val="32"/>
        </w:rPr>
        <w:t>（四）政务公开工作亮点纷呈。</w:t>
      </w:r>
      <w:r>
        <w:rPr>
          <w:rFonts w:hint="eastAsia"/>
          <w:bCs/>
        </w:rPr>
        <w:t>年内首次参与海关总署举办主题为“红色传承 红色湘关”的在</w:t>
      </w:r>
      <w:r>
        <w:rPr>
          <w:rFonts w:hint="eastAsia" w:cs="宋体"/>
          <w:color w:val="000000"/>
          <w:kern w:val="0"/>
          <w:szCs w:val="32"/>
        </w:rPr>
        <w:t>线访谈，访问量达到128万余次，网友提问483个，创总署在线访谈历史新高；总署网站《海关影像》栏目采用我关微视频作品6个，累计在学习强国、海关发布等平台发布微视频70余个，其中微视频《百年公馆》在央视频发布。稳步推进12360服务热线归并工作，作为省内第一条完成归并工作的热线，获得主管部门充分肯定，并作为“海关模式”向其他中直单位热线推广。</w:t>
      </w:r>
    </w:p>
    <w:p>
      <w:pPr>
        <w:pStyle w:val="31"/>
        <w:adjustRightInd w:val="0"/>
        <w:snapToGrid w:val="0"/>
        <w:spacing w:beforeLines="50" w:afterLines="50"/>
        <w:ind w:firstLine="624" w:firstLineChars="200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hint="eastAsia" w:ascii="方正黑体_GBK" w:eastAsia="方正黑体_GBK" w:cs="楷体_GB2312"/>
          <w:bCs/>
          <w:szCs w:val="32"/>
          <w:shd w:val="clear" w:color="auto" w:fill="FFFFFF"/>
        </w:rPr>
        <w:t>二、主动公开政府信息情况</w:t>
      </w:r>
    </w:p>
    <w:tbl>
      <w:tblPr>
        <w:tblStyle w:val="14"/>
        <w:tblW w:w="899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9"/>
        <w:gridCol w:w="2183"/>
        <w:gridCol w:w="1936"/>
        <w:gridCol w:w="215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9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hint="eastAsia" w:eastAsia="方正仿宋_GBK" w:cs="宋体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hint="eastAsia" w:eastAsia="方正仿宋_GBK" w:cs="宋体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hint="eastAsia" w:eastAsia="方正仿宋_GBK" w:cs="宋体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hint="eastAsia" w:eastAsia="方正仿宋_GBK" w:cs="宋体"/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hint="eastAsia" w:eastAsia="方正仿宋_GBK" w:cs="宋体"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hint="eastAsia" w:eastAsia="方正仿宋_GBK" w:cs="宋体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899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 w:cs="宋体"/>
                <w:color w:val="FF0000"/>
                <w:sz w:val="24"/>
                <w:szCs w:val="24"/>
              </w:rPr>
            </w:pPr>
            <w:r>
              <w:rPr>
                <w:rFonts w:hint="eastAsia" w:eastAsia="方正仿宋_GBK" w:cs="宋体"/>
                <w:sz w:val="24"/>
                <w:szCs w:val="24"/>
              </w:rPr>
              <w:t>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99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hint="eastAsia" w:eastAsia="方正仿宋_GBK" w:cs="宋体"/>
                <w:sz w:val="24"/>
                <w:szCs w:val="24"/>
              </w:rPr>
              <w:t>370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1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hint="eastAsia" w:eastAsia="方正仿宋_GBK" w:cs="宋体"/>
                <w:sz w:val="24"/>
                <w:szCs w:val="24"/>
              </w:rPr>
              <w:t>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99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hint="eastAsia" w:eastAsia="方正仿宋_GBK" w:cs="宋体"/>
                <w:sz w:val="24"/>
                <w:szCs w:val="24"/>
              </w:rPr>
              <w:t>0</w:t>
            </w:r>
          </w:p>
        </w:tc>
      </w:tr>
    </w:tbl>
    <w:p>
      <w:pPr>
        <w:pStyle w:val="8"/>
      </w:pPr>
    </w:p>
    <w:p>
      <w:pPr>
        <w:pStyle w:val="13"/>
        <w:widowControl/>
        <w:shd w:val="clear" w:color="auto" w:fill="FFFFFF"/>
        <w:adjustRightInd w:val="0"/>
        <w:snapToGrid w:val="0"/>
        <w:spacing w:beforeAutospacing="0" w:afterLines="50" w:afterAutospacing="0" w:line="560" w:lineRule="exact"/>
        <w:ind w:firstLine="640" w:firstLineChars="20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14"/>
        <w:tblW w:w="9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2"/>
        <w:gridCol w:w="678"/>
        <w:gridCol w:w="750"/>
        <w:gridCol w:w="765"/>
        <w:gridCol w:w="765"/>
        <w:gridCol w:w="497"/>
        <w:gridCol w:w="6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430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tblHeader/>
          <w:jc w:val="center"/>
        </w:trPr>
        <w:tc>
          <w:tcPr>
            <w:tcW w:w="430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6"/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6"/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6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26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26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pStyle w:val="26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rPr>
                <w:sz w:val="24"/>
                <w:szCs w:val="24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left"/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13"/>
        <w:widowControl/>
        <w:shd w:val="clear" w:color="auto" w:fill="FFFFFF"/>
        <w:spacing w:beforeLines="50" w:beforeAutospacing="0" w:after="120" w:afterAutospacing="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</w:p>
    <w:p>
      <w:pPr>
        <w:pStyle w:val="13"/>
        <w:widowControl/>
        <w:shd w:val="clear" w:color="auto" w:fill="FFFFFF"/>
        <w:spacing w:beforeLines="50" w:beforeAutospacing="0" w:after="120" w:afterAutospacing="0"/>
        <w:ind w:firstLine="640" w:firstLineChars="200"/>
        <w:jc w:val="both"/>
        <w:rPr>
          <w:rFonts w:ascii="宋体" w:cs="宋体"/>
          <w:szCs w:val="24"/>
        </w:rPr>
      </w:pPr>
      <w:r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14"/>
        <w:tblW w:w="9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13"/>
        <w:widowControl/>
        <w:shd w:val="clear" w:color="auto" w:fill="FFFFFF"/>
        <w:spacing w:beforeLines="50" w:beforeAutospacing="0" w:afterAutospacing="0" w:line="560" w:lineRule="exact"/>
        <w:ind w:firstLine="640" w:firstLineChars="20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1"/>
        <w:contextualSpacing/>
        <w:rPr>
          <w:rFonts w:ascii="仿宋_GB2312" w:hAnsi="仿宋_GB2312"/>
          <w:szCs w:val="32"/>
        </w:rPr>
      </w:pPr>
      <w:r>
        <w:rPr>
          <w:rFonts w:hint="eastAsia" w:ascii="方正楷体_GBK" w:eastAsia="方正楷体_GBK"/>
          <w:b/>
          <w:bCs/>
        </w:rPr>
        <w:t>（一）2020年年报中所提问题整改情况。</w:t>
      </w:r>
      <w:r>
        <w:rPr>
          <w:rFonts w:hint="eastAsia"/>
          <w:bCs/>
          <w:szCs w:val="32"/>
          <w:shd w:val="clear" w:color="auto" w:fill="FFFFFF"/>
        </w:rPr>
        <w:t>一是针对“政策解读工作的参与广度有待提高，目前主要参与该项工作的为职能处室，隶属海关单位参与较少”的问题，我关通过修改隶属海关班子考核指标，加大培训指导力度，引导隶属海关积极参与该项工作，2021年隶属海关独立完成各类政策解读稿件28篇次，其中机场海关制作的视频稿件《健康申明卡申报》《农业部联合公告〔2021〕470 号政策解读》形式新颖活泼，获得大量转发好评。整体而言隶属海关参与政策解读的量和质都有较大程度提升；二是针对“随着湖南省市州隶属海关机构的全覆盖，</w:t>
      </w:r>
      <w:r>
        <w:rPr>
          <w:bCs/>
          <w:szCs w:val="32"/>
          <w:shd w:val="clear" w:color="auto" w:fill="FFFFFF"/>
        </w:rPr>
        <w:t>部分新设</w:t>
      </w:r>
      <w:r>
        <w:rPr>
          <w:rFonts w:hint="eastAsia"/>
          <w:bCs/>
          <w:szCs w:val="32"/>
          <w:shd w:val="clear" w:color="auto" w:fill="FFFFFF"/>
        </w:rPr>
        <w:t>隶属海关相关岗位人员的政务公开意识和</w:t>
      </w:r>
      <w:r>
        <w:rPr>
          <w:bCs/>
          <w:szCs w:val="32"/>
          <w:shd w:val="clear" w:color="auto" w:fill="FFFFFF"/>
        </w:rPr>
        <w:t>工作能力</w:t>
      </w:r>
      <w:r>
        <w:rPr>
          <w:rFonts w:hint="eastAsia"/>
          <w:bCs/>
          <w:szCs w:val="32"/>
          <w:shd w:val="clear" w:color="auto" w:fill="FFFFFF"/>
        </w:rPr>
        <w:t>还有待进一步加强”的问题，年内</w:t>
      </w:r>
      <w:r>
        <w:rPr>
          <w:rFonts w:hint="eastAsia"/>
          <w:szCs w:val="32"/>
        </w:rPr>
        <w:t>开展2场政务公开专项培训，培训人员共计433人次；</w:t>
      </w:r>
      <w:r>
        <w:rPr>
          <w:szCs w:val="32"/>
        </w:rPr>
        <w:t>组织</w:t>
      </w:r>
      <w:r>
        <w:rPr>
          <w:rFonts w:hint="eastAsia"/>
          <w:szCs w:val="32"/>
        </w:rPr>
        <w:t>隶属海关共有5人次到办公室开展政务公开跟班学习；编制《办文办事实用手册》，突出操作性，为基层政务公开工作提供实务指导，隶属海关相关岗位人员工作水平和政务公开意识有较大幅度提高。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1"/>
        <w:contextualSpacing/>
        <w:rPr>
          <w:rStyle w:val="65"/>
          <w:spacing w:val="-4"/>
        </w:rPr>
      </w:pPr>
      <w:r>
        <w:rPr>
          <w:rFonts w:hint="eastAsia" w:ascii="方正楷体_GBK" w:eastAsia="方正楷体_GBK"/>
          <w:b/>
          <w:bCs/>
        </w:rPr>
        <w:t>（二）目前存在问题。</w:t>
      </w:r>
      <w:bookmarkEnd w:id="1"/>
      <w:r>
        <w:rPr>
          <w:rFonts w:hint="eastAsia"/>
          <w:snapToGrid w:val="0"/>
          <w:szCs w:val="32"/>
        </w:rPr>
        <w:t>当前我关在12360热线受理投诉办理上，还存在职责不清的问题。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1"/>
        <w:contextualSpacing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hint="eastAsia" w:ascii="方正黑体_GBK" w:eastAsia="方正黑体_GBK" w:cs="楷体_GB2312"/>
          <w:bCs/>
          <w:szCs w:val="32"/>
          <w:shd w:val="clear" w:color="auto" w:fill="FFFFFF"/>
        </w:rPr>
        <w:t>六、其他需要报告的事项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1"/>
        <w:contextualSpacing/>
        <w:rPr>
          <w:rStyle w:val="65"/>
          <w:rFonts w:ascii="方正楷体_GBK" w:eastAsia="方正楷体_GBK"/>
          <w:b/>
          <w:bCs/>
        </w:rPr>
      </w:pPr>
      <w:r>
        <w:rPr>
          <w:rStyle w:val="65"/>
          <w:rFonts w:hint="eastAsia"/>
          <w:spacing w:val="-4"/>
        </w:rPr>
        <w:t>无。</w:t>
      </w:r>
    </w:p>
    <w:p>
      <w:pPr>
        <w:pBdr>
          <w:bottom w:val="single" w:color="FFFFFF" w:sz="4" w:space="31"/>
        </w:pBdr>
        <w:adjustRightInd w:val="0"/>
        <w:spacing w:line="560" w:lineRule="exact"/>
        <w:ind w:firstLine="641"/>
        <w:contextualSpacing/>
      </w:pPr>
    </w:p>
    <w:sectPr>
      <w:footerReference r:id="rId3" w:type="first"/>
      <w:pgSz w:w="11906" w:h="16838"/>
      <w:pgMar w:top="2098" w:right="1474" w:bottom="1985" w:left="1588" w:header="851" w:footer="992" w:gutter="0"/>
      <w:pgNumType w:fmt="numberInDash" w:start="1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00056C99-60F6-44D2-9521-770BDF736209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E96AE7F-4B01-43AB-8BAB-B73BE97DC0A0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3" w:fontKey="{E18D9BE0-CB4E-4154-AFCE-5FB3B6CE9F1F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9DE60E69-1B3A-414C-AEF2-A4A8D6EDCDE5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B6252A62-12A2-4E65-8A5A-0E5AC2084A5D}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6AC521B3-E561-4229-9FC3-1455ABAB109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E664F8B3-62E1-4E2B-9B61-A7CB9686480A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8" w:fontKey="{AED5EADD-9047-4017-B99F-8FD44BDB598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fldChar w:fldCharType="begin"/>
    </w:r>
    <w:r>
      <w:instrText xml:space="preserve"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 xml:space="preserve"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 xml:space="preserve"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 xml:space="preserve">Page</w:instrText>
    </w:r>
    <w:r>
      <w:fldChar w:fldCharType="separate"/>
    </w:r>
    <w:r>
      <w:t>- 1 -</w:t>
    </w:r>
    <w:r>
      <w:fldChar w:fldCharType="end"/>
    </w:r>
  </w:p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hideGrammaticalErrors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mMjIwYTgwNDkwY2ZlZjIwNzUxMzgyOGVmM2ZjNjYifQ=="/>
  </w:docVars>
  <w:rsids>
    <w:rsidRoot w:val="00EA4BD0"/>
    <w:rsid w:val="00054217"/>
    <w:rsid w:val="00076D72"/>
    <w:rsid w:val="000A421D"/>
    <w:rsid w:val="000C3353"/>
    <w:rsid w:val="000E5600"/>
    <w:rsid w:val="000E652D"/>
    <w:rsid w:val="0010233A"/>
    <w:rsid w:val="001A6DA3"/>
    <w:rsid w:val="00214771"/>
    <w:rsid w:val="00232FCB"/>
    <w:rsid w:val="002B4C01"/>
    <w:rsid w:val="002E22AA"/>
    <w:rsid w:val="002F6246"/>
    <w:rsid w:val="00317916"/>
    <w:rsid w:val="003A74F5"/>
    <w:rsid w:val="003B45D0"/>
    <w:rsid w:val="003C28C0"/>
    <w:rsid w:val="003E378F"/>
    <w:rsid w:val="00402005"/>
    <w:rsid w:val="0042533B"/>
    <w:rsid w:val="00425976"/>
    <w:rsid w:val="004513E1"/>
    <w:rsid w:val="00456ABF"/>
    <w:rsid w:val="00466E0D"/>
    <w:rsid w:val="004A370B"/>
    <w:rsid w:val="004C5AE1"/>
    <w:rsid w:val="004F4A2B"/>
    <w:rsid w:val="00534746"/>
    <w:rsid w:val="00537296"/>
    <w:rsid w:val="00550011"/>
    <w:rsid w:val="005812F4"/>
    <w:rsid w:val="005848BC"/>
    <w:rsid w:val="005D6910"/>
    <w:rsid w:val="00626961"/>
    <w:rsid w:val="00634F63"/>
    <w:rsid w:val="006829CF"/>
    <w:rsid w:val="006C3DB9"/>
    <w:rsid w:val="006C6446"/>
    <w:rsid w:val="006D483B"/>
    <w:rsid w:val="006E0B6C"/>
    <w:rsid w:val="00763A0E"/>
    <w:rsid w:val="00785262"/>
    <w:rsid w:val="00795B82"/>
    <w:rsid w:val="007D29AF"/>
    <w:rsid w:val="007F532B"/>
    <w:rsid w:val="00825A00"/>
    <w:rsid w:val="00854F1F"/>
    <w:rsid w:val="00871A56"/>
    <w:rsid w:val="00896989"/>
    <w:rsid w:val="008F4823"/>
    <w:rsid w:val="0094337B"/>
    <w:rsid w:val="00947FE1"/>
    <w:rsid w:val="00981D3A"/>
    <w:rsid w:val="009835A9"/>
    <w:rsid w:val="009A5E44"/>
    <w:rsid w:val="00A0551D"/>
    <w:rsid w:val="00A17A04"/>
    <w:rsid w:val="00A542C6"/>
    <w:rsid w:val="00A63AE3"/>
    <w:rsid w:val="00AA5F00"/>
    <w:rsid w:val="00AE5F46"/>
    <w:rsid w:val="00B30977"/>
    <w:rsid w:val="00B343EC"/>
    <w:rsid w:val="00B35992"/>
    <w:rsid w:val="00B65C66"/>
    <w:rsid w:val="00BA64B7"/>
    <w:rsid w:val="00C20357"/>
    <w:rsid w:val="00C41D16"/>
    <w:rsid w:val="00C66466"/>
    <w:rsid w:val="00CA72BB"/>
    <w:rsid w:val="00CC117F"/>
    <w:rsid w:val="00CF0093"/>
    <w:rsid w:val="00D04723"/>
    <w:rsid w:val="00D602D7"/>
    <w:rsid w:val="00D92296"/>
    <w:rsid w:val="00DA34B2"/>
    <w:rsid w:val="00DA44A9"/>
    <w:rsid w:val="00DD53AD"/>
    <w:rsid w:val="00E43A3B"/>
    <w:rsid w:val="00E519E6"/>
    <w:rsid w:val="00E87B02"/>
    <w:rsid w:val="00E91B10"/>
    <w:rsid w:val="00EA4971"/>
    <w:rsid w:val="00EA4BD0"/>
    <w:rsid w:val="00EC0BE7"/>
    <w:rsid w:val="00EC759C"/>
    <w:rsid w:val="00EE34B5"/>
    <w:rsid w:val="00EF607F"/>
    <w:rsid w:val="00F03C08"/>
    <w:rsid w:val="00F76644"/>
    <w:rsid w:val="00FC0D77"/>
    <w:rsid w:val="00FC439F"/>
    <w:rsid w:val="00FC6E89"/>
    <w:rsid w:val="25D8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qFormat="1" w:unhideWhenUsed="0" w:uiPriority="0" w:semiHidden="0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uiPriority w:val="99"/>
    <w:pPr>
      <w:spacing w:after="120" w:afterLines="0" w:afterAutospacing="0"/>
      <w:ind w:left="420" w:leftChars="200"/>
    </w:pPr>
  </w:style>
  <w:style w:type="paragraph" w:styleId="4">
    <w:name w:val="List Number 2"/>
    <w:basedOn w:val="1"/>
    <w:qFormat/>
    <w:uiPriority w:val="0"/>
    <w:pPr>
      <w:tabs>
        <w:tab w:val="left" w:pos="780"/>
      </w:tabs>
      <w:ind w:left="780" w:hanging="360"/>
    </w:pPr>
  </w:style>
  <w:style w:type="paragraph" w:styleId="5">
    <w:name w:val="index 8"/>
    <w:basedOn w:val="1"/>
    <w:next w:val="1"/>
    <w:qFormat/>
    <w:uiPriority w:val="0"/>
    <w:pPr>
      <w:ind w:left="2940"/>
    </w:pPr>
  </w:style>
  <w:style w:type="paragraph" w:styleId="6">
    <w:name w:val="index 5"/>
    <w:basedOn w:val="1"/>
    <w:next w:val="1"/>
    <w:qFormat/>
    <w:uiPriority w:val="0"/>
    <w:pPr>
      <w:ind w:left="1680"/>
    </w:pPr>
  </w:style>
  <w:style w:type="paragraph" w:styleId="7">
    <w:name w:val="index 6"/>
    <w:basedOn w:val="1"/>
    <w:next w:val="1"/>
    <w:qFormat/>
    <w:uiPriority w:val="0"/>
    <w:pPr>
      <w:ind w:left="2100"/>
    </w:p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index 7"/>
    <w:basedOn w:val="1"/>
    <w:next w:val="1"/>
    <w:qFormat/>
    <w:uiPriority w:val="0"/>
    <w:pPr>
      <w:ind w:left="2520"/>
    </w:pPr>
  </w:style>
  <w:style w:type="paragraph" w:styleId="12">
    <w:name w:val="toc 2"/>
    <w:basedOn w:val="1"/>
    <w:next w:val="1"/>
    <w:qFormat/>
    <w:uiPriority w:val="0"/>
    <w:pPr>
      <w:ind w:left="420"/>
    </w:pPr>
  </w:style>
  <w:style w:type="paragraph" w:styleId="13">
    <w:name w:val="Normal (Web)"/>
    <w:next w:val="8"/>
    <w:qFormat/>
    <w:uiPriority w:val="99"/>
    <w:pPr>
      <w:widowControl w:val="0"/>
      <w:spacing w:beforeAutospacing="1" w:afterAutospacing="1"/>
    </w:pPr>
    <w:rPr>
      <w:rFonts w:ascii="Times New Roman" w:hAnsi="Times New Roman" w:eastAsia="宋体" w:cs="Times New Roman"/>
      <w:sz w:val="24"/>
      <w:szCs w:val="30"/>
      <w:lang w:val="en-US" w:eastAsia="zh-CN" w:bidi="ar-SA"/>
    </w:rPr>
  </w:style>
  <w:style w:type="character" w:styleId="16">
    <w:name w:val="page number"/>
    <w:basedOn w:val="15"/>
    <w:uiPriority w:val="0"/>
  </w:style>
  <w:style w:type="paragraph" w:customStyle="1" w:styleId="17">
    <w:name w:val="样式 三号"/>
    <w:next w:val="18"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lang w:val="en-US" w:eastAsia="zh-CN" w:bidi="ar-SA"/>
    </w:rPr>
  </w:style>
  <w:style w:type="paragraph" w:customStyle="1" w:styleId="18">
    <w:name w:val="样式 三号1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lang w:val="en-US" w:eastAsia="zh-CN" w:bidi="ar-SA"/>
    </w:rPr>
  </w:style>
  <w:style w:type="paragraph" w:customStyle="1" w:styleId="19">
    <w:name w:val="正文6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customStyle="1" w:styleId="20">
    <w:name w:val="正文5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customStyle="1" w:styleId="21">
    <w:name w:val="正文4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customStyle="1" w:styleId="22">
    <w:name w:val="正文3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customStyle="1" w:styleId="23">
    <w:name w:val="正文2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customStyle="1" w:styleId="24">
    <w:name w:val="正文1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customStyle="1" w:styleId="25">
    <w:name w:val="样式 1 三号"/>
    <w:next w:val="10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customStyle="1" w:styleId="26">
    <w:name w:val="样式 小三"/>
    <w:next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7">
    <w:name w:val="样式 1 小四"/>
    <w:next w:val="23"/>
    <w:qFormat/>
    <w:uiPriority w:val="0"/>
    <w:pPr>
      <w:widowControl w:val="0"/>
    </w:pPr>
    <w:rPr>
      <w:rFonts w:ascii="宋体" w:hAnsi="Times New Roman" w:eastAsia="宋体" w:cs="Times New Roman"/>
      <w:kern w:val="2"/>
      <w:sz w:val="24"/>
      <w:lang w:val="en-US" w:eastAsia="zh-CN" w:bidi="ar-SA"/>
    </w:rPr>
  </w:style>
  <w:style w:type="paragraph" w:customStyle="1" w:styleId="28">
    <w:name w:val="样式 6 小四"/>
    <w:next w:val="24"/>
    <w:qFormat/>
    <w:uiPriority w:val="0"/>
    <w:pPr>
      <w:widowControl w:val="0"/>
      <w:spacing w:beforeAutospacing="1" w:afterAutospacing="1"/>
    </w:pPr>
    <w:rPr>
      <w:rFonts w:ascii="Times New Roman" w:hAnsi="Times New Roman" w:eastAsia="宋体" w:cs="Times New Roman"/>
      <w:sz w:val="24"/>
      <w:szCs w:val="30"/>
      <w:lang w:val="en-US" w:eastAsia="zh-CN" w:bidi="ar-SA"/>
    </w:rPr>
  </w:style>
  <w:style w:type="paragraph" w:customStyle="1" w:styleId="29">
    <w:name w:val="样式 20 小四"/>
    <w:next w:val="6"/>
    <w:qFormat/>
    <w:uiPriority w:val="0"/>
    <w:pPr>
      <w:widowControl w:val="0"/>
      <w:spacing w:beforeAutospacing="1" w:afterAutospacing="1"/>
    </w:pPr>
    <w:rPr>
      <w:rFonts w:ascii="Times New Roman" w:hAnsi="Times New Roman" w:eastAsia="宋体" w:cs="Times New Roman"/>
      <w:sz w:val="24"/>
      <w:szCs w:val="30"/>
      <w:lang w:val="en-US" w:eastAsia="zh-CN" w:bidi="ar-SA"/>
    </w:rPr>
  </w:style>
  <w:style w:type="paragraph" w:customStyle="1" w:styleId="30">
    <w:name w:val="样式 12 三号"/>
    <w:next w:val="5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customStyle="1" w:styleId="31">
    <w:name w:val="样式 50 三号"/>
    <w:next w:val="7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lang w:val="en-US" w:eastAsia="zh-CN" w:bidi="ar-SA"/>
    </w:rPr>
  </w:style>
  <w:style w:type="paragraph" w:customStyle="1" w:styleId="32">
    <w:name w:val="样式 13 三号"/>
    <w:next w:val="11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lang w:val="en-US" w:eastAsia="zh-CN" w:bidi="ar-SA"/>
    </w:rPr>
  </w:style>
  <w:style w:type="paragraph" w:customStyle="1" w:styleId="33">
    <w:name w:val="样式 2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customStyle="1" w:styleId="34">
    <w:name w:val="样式 3 三号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35">
    <w:name w:val="样式 4 三号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36">
    <w:name w:val="样式 5 三号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37">
    <w:name w:val="样式 6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8"/>
      <w:lang w:val="en-US" w:eastAsia="zh-CN" w:bidi="ar-SA"/>
    </w:rPr>
  </w:style>
  <w:style w:type="paragraph" w:customStyle="1" w:styleId="38">
    <w:name w:val="样式 7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lang w:val="en-US" w:eastAsia="zh-CN" w:bidi="ar-SA"/>
    </w:rPr>
  </w:style>
  <w:style w:type="paragraph" w:customStyle="1" w:styleId="39">
    <w:name w:val="样式 8 三号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lang w:val="en-US" w:eastAsia="zh-CN" w:bidi="ar-SA"/>
    </w:rPr>
  </w:style>
  <w:style w:type="paragraph" w:customStyle="1" w:styleId="40">
    <w:name w:val="样式 小四"/>
    <w:qFormat/>
    <w:uiPriority w:val="0"/>
    <w:pPr>
      <w:widowControl w:val="0"/>
    </w:pPr>
    <w:rPr>
      <w:rFonts w:ascii="宋体" w:hAnsi="Times New Roman" w:eastAsia="宋体" w:cs="Times New Roman"/>
      <w:kern w:val="2"/>
      <w:sz w:val="24"/>
      <w:lang w:val="en-US" w:eastAsia="zh-CN" w:bidi="ar-SA"/>
    </w:rPr>
  </w:style>
  <w:style w:type="paragraph" w:customStyle="1" w:styleId="41">
    <w:name w:val="样式 1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42">
    <w:name w:val="样式 2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43">
    <w:name w:val="样式 3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44">
    <w:name w:val="样式 4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45">
    <w:name w:val="样式 9 三号"/>
    <w:qFormat/>
    <w:uiPriority w:val="0"/>
    <w:pPr>
      <w:widowControl w:val="0"/>
      <w:ind w:left="42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46">
    <w:name w:val="样式 2 小四"/>
    <w:qFormat/>
    <w:uiPriority w:val="0"/>
    <w:pPr>
      <w:widowControl w:val="0"/>
      <w:spacing w:beforeAutospacing="1" w:afterAutospacing="1"/>
    </w:pPr>
    <w:rPr>
      <w:rFonts w:ascii="Times New Roman" w:hAnsi="Times New Roman" w:eastAsia="宋体" w:cs="Times New Roman"/>
      <w:sz w:val="24"/>
      <w:szCs w:val="30"/>
      <w:lang w:val="en-US" w:eastAsia="zh-CN" w:bidi="ar-SA"/>
    </w:rPr>
  </w:style>
  <w:style w:type="paragraph" w:customStyle="1" w:styleId="47">
    <w:name w:val="样式 10 三号"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lang w:val="en-US" w:eastAsia="zh-CN" w:bidi="ar-SA"/>
    </w:rPr>
  </w:style>
  <w:style w:type="paragraph" w:customStyle="1" w:styleId="48">
    <w:name w:val="样式 3 小四"/>
    <w:qFormat/>
    <w:uiPriority w:val="0"/>
    <w:pPr>
      <w:widowControl w:val="0"/>
    </w:pPr>
    <w:rPr>
      <w:rFonts w:ascii="宋体" w:hAnsi="Times New Roman" w:eastAsia="宋体" w:cs="Times New Roman"/>
      <w:kern w:val="2"/>
      <w:sz w:val="24"/>
      <w:lang w:val="en-US" w:eastAsia="zh-CN" w:bidi="ar-SA"/>
    </w:rPr>
  </w:style>
  <w:style w:type="paragraph" w:customStyle="1" w:styleId="49">
    <w:name w:val="样式 5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0">
    <w:name w:val="样式 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1">
    <w:name w:val="样式 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2">
    <w:name w:val="样式 8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3">
    <w:name w:val="样式 9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4">
    <w:name w:val="样式 10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5">
    <w:name w:val="样式 11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6">
    <w:name w:val="样式 1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7">
    <w:name w:val="样式 13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4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6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8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9 小三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64">
    <w:name w:val="样式 2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customStyle="1" w:styleId="65">
    <w:name w:val="labelstyle3"/>
    <w:basedOn w:val="15"/>
    <w:qFormat/>
    <w:uiPriority w:val="0"/>
  </w:style>
  <w:style w:type="character" w:customStyle="1" w:styleId="66">
    <w:name w:val="im-content1"/>
    <w:basedOn w:val="15"/>
    <w:qFormat/>
    <w:uiPriority w:val="0"/>
    <w:rPr>
      <w:color w:val="000000"/>
    </w:rPr>
  </w:style>
  <w:style w:type="paragraph" w:customStyle="1" w:styleId="67">
    <w:name w:val="样式 1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68">
    <w:name w:val="样式 22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69">
    <w:name w:val="样式 124 三号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ccic</Company>
  <Pages>7</Pages>
  <Words>2366</Words>
  <Characters>2455</Characters>
  <Lines>20</Lines>
  <Paragraphs>5</Paragraphs>
  <TotalTime>117</TotalTime>
  <ScaleCrop>false</ScaleCrop>
  <LinksUpToDate>false</LinksUpToDate>
  <CharactersWithSpaces>2457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2022-01-21T07:22:00Z</dcterms:created>
  <dc:creator>吕大良</dc:creator>
  <cp:lastModifiedBy>李小漾。</cp:lastModifiedBy>
  <cp:lastPrinted>2021-11-30T07:27:00Z</cp:lastPrinted>
  <dcterms:modified xsi:type="dcterms:W3CDTF">2023-06-12T06:28:59Z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026B083A1A4543EC8089B6E013A0B14F_13</vt:lpwstr>
  </property>
</Properties>
</file>