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0"/>
        <w:spacing w:line="580" w:lineRule="exact"/>
        <w:jc w:val="center"/>
        <w:rPr>
          <w:rFonts w:eastAsia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eastAsia="方正小标宋_GBK"/>
          <w:sz w:val="44"/>
          <w:szCs w:val="44"/>
        </w:rPr>
        <w:t>长沙海关关区2022年政府信息公开</w:t>
      </w:r>
    </w:p>
    <w:p>
      <w:pPr>
        <w:pStyle w:val="50"/>
        <w:spacing w:line="58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工作年度报告</w:t>
      </w:r>
      <w:bookmarkEnd w:id="0"/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eastAsia="楷体_GB2312"/>
          <w:bCs/>
          <w:sz w:val="32"/>
          <w:szCs w:val="32"/>
          <w:shd w:val="clear" w:color="auto" w:fill="FFFFFF"/>
        </w:rPr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</w:rPr>
      </w:pPr>
      <w:r>
        <w:rPr>
          <w:rFonts w:eastAsia="方正黑体_GBK"/>
          <w:bCs/>
          <w:sz w:val="32"/>
          <w:szCs w:val="32"/>
          <w:shd w:val="clear" w:color="auto" w:fill="FFFFFF"/>
        </w:rPr>
        <w:t>一、总体情况</w:t>
      </w:r>
    </w:p>
    <w:p>
      <w:pPr>
        <w:pStyle w:val="8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line="560" w:lineRule="exact"/>
        <w:ind w:firstLineChars="200" w:firstLine="640"/>
        <w:jc w:val="left"/>
        <w:rPr>
          <w:rFonts w:eastAsia="宋体"/>
          <w:vanish w:val="0"/>
          <w:kern w:val="0"/>
          <w:szCs w:val="32"/>
        </w:rPr>
      </w:pPr>
      <w:r>
        <w:rPr>
          <w:rFonts w:eastAsia="宋体"/>
          <w:vanish w:val="0"/>
          <w:kern w:val="0"/>
          <w:szCs w:val="32"/>
        </w:rPr>
        <w:t>2022</w:t>
      </w:r>
      <w:r>
        <w:rPr>
          <w:rFonts w:eastAsia="方正仿宋_GBK"/>
          <w:vanish w:val="0"/>
          <w:kern w:val="0"/>
          <w:szCs w:val="32"/>
        </w:rPr>
        <w:t>年，长沙海关坚持以习近平新时代中国特色社会主义思想为指导，认真贯彻《中华人民共和国政府信息公开条例》，组织各部门、单位按照《</w:t>
      </w:r>
      <w:r>
        <w:rPr>
          <w:rFonts w:eastAsia="宋体"/>
          <w:vanish w:val="0"/>
          <w:kern w:val="0"/>
          <w:szCs w:val="32"/>
        </w:rPr>
        <w:t>2022</w:t>
      </w:r>
      <w:r>
        <w:rPr>
          <w:rFonts w:eastAsia="方正仿宋_GBK"/>
          <w:vanish w:val="0"/>
          <w:kern w:val="0"/>
          <w:szCs w:val="32"/>
        </w:rPr>
        <w:t>年海关政务公开工作要点》的部署要求开展政府信息公开工作。主要情况如下：</w:t>
      </w:r>
    </w:p>
    <w:p>
      <w:pPr>
        <w:pStyle w:val="106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cs="Times New Roman" w:hint="eastAsia"/>
          <w:bCs/>
          <w:kern w:val="0"/>
          <w:sz w:val="32"/>
          <w:szCs w:val="32"/>
        </w:rPr>
      </w:pPr>
      <w:r>
        <w:rPr>
          <w:rFonts w:ascii="Times New Roman" w:eastAsia="方正楷体_GBK" w:cs="Times New Roman" w:hAnsi="Times New Roman"/>
          <w:b/>
          <w:bCs/>
          <w:vanish w:val="0"/>
          <w:kern w:val="0"/>
          <w:sz w:val="32"/>
          <w:szCs w:val="32"/>
        </w:rPr>
        <w:t>（一）主动公开。</w:t>
      </w:r>
      <w:r>
        <w:rPr>
          <w:rFonts w:ascii="Times New Roman" w:eastAsia="方正仿宋_GBK" w:cs="Times New Roman" w:hAnsi="Times New Roman"/>
          <w:vanish w:val="0"/>
          <w:kern w:val="0"/>
          <w:sz w:val="32"/>
          <w:szCs w:val="32"/>
        </w:rPr>
        <w:t>充分发挥</w:t>
      </w:r>
      <w:r>
        <w:rPr>
          <w:rFonts w:ascii="方正仿宋_GBK" w:eastAsia="方正仿宋_GBK" w:cs="Times New Roman" w:hint="eastAsia"/>
          <w:vanish w:val="0"/>
          <w:kern w:val="0"/>
          <w:sz w:val="32"/>
          <w:szCs w:val="32"/>
        </w:rPr>
        <w:t>政务公开作用，架设关企沟通桥梁。紧扣“六稳”“六保”、疫情防控</w:t>
      </w:r>
      <w:r>
        <w:rPr>
          <w:rFonts w:ascii="Times New Roman" w:eastAsia="方正仿宋_GBK" w:cs="Times New Roman" w:hAnsi="Times New Roman"/>
          <w:vanish w:val="0"/>
          <w:kern w:val="0"/>
          <w:sz w:val="32"/>
          <w:szCs w:val="32"/>
        </w:rPr>
        <w:t>、贸易便利化等企业群众关心的内容开展政策宣贯：</w:t>
      </w:r>
      <w:r>
        <w:rPr>
          <w:rFonts w:ascii="Times New Roman" w:eastAsia="方正仿宋_GBK" w:cs="Times New Roman" w:hAnsi="Times New Roman"/>
          <w:b/>
          <w:bCs/>
          <w:vanish w:val="0"/>
          <w:kern w:val="0"/>
          <w:sz w:val="32"/>
          <w:szCs w:val="32"/>
        </w:rPr>
        <w:t>一是多渠道、多媒介主动发声。</w:t>
      </w:r>
      <w:r>
        <w:rPr>
          <w:rFonts w:ascii="Times New Roman" w:eastAsia="方正仿宋_GBK" w:cs="Times New Roman" w:hAnsi="Times New Roman"/>
          <w:vanish w:val="0"/>
          <w:kern w:val="0"/>
          <w:sz w:val="32"/>
          <w:szCs w:val="32"/>
        </w:rPr>
        <w:t>召开专场新闻发布会4场次；在</w:t>
      </w:r>
      <w:r>
        <w:rPr>
          <w:rFonts w:ascii="Times New Roman" w:eastAsia="方正仿宋_GBK" w:cs="Times New Roman" w:hAnsi="Times New Roman"/>
          <w:bCs/>
          <w:kern w:val="0"/>
          <w:sz w:val="32"/>
          <w:szCs w:val="32"/>
        </w:rPr>
        <w:t>总署载体发布政策解读稿件49篇次，增长123%，位居全国海关第7位</w:t>
      </w:r>
      <w:r>
        <w:rPr>
          <w:rFonts w:ascii="Times New Roman" w:eastAsia="方正仿宋_GBK" w:cs="Times New Roman" w:hAnsi="Times New Roman"/>
          <w:vanish w:val="0"/>
          <w:kern w:val="0"/>
          <w:sz w:val="32"/>
          <w:szCs w:val="32"/>
        </w:rPr>
        <w:t>。注重做好我关制定政策配套解读，让企业及时充分享受海关改革</w:t>
      </w:r>
      <w:r>
        <w:rPr>
          <w:rFonts w:ascii="方正仿宋_GBK" w:eastAsia="方正仿宋_GBK" w:cs="Times New Roman" w:hint="eastAsia"/>
          <w:vanish w:val="0"/>
          <w:kern w:val="0"/>
          <w:sz w:val="32"/>
          <w:szCs w:val="32"/>
        </w:rPr>
        <w:t>政策“红利”。</w:t>
      </w:r>
      <w:r>
        <w:rPr>
          <w:rFonts w:ascii="Times New Roman" w:eastAsia="方正仿宋_GBK" w:cs="Times New Roman" w:hAnsi="Times New Roman"/>
          <w:b/>
          <w:bCs/>
          <w:vanish w:val="0"/>
          <w:kern w:val="0"/>
          <w:sz w:val="32"/>
          <w:szCs w:val="32"/>
        </w:rPr>
        <w:t>二是高质量、高标准创新政务服务。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制定实施2022年门户网站建设发展9项措施，成功争取全国海关首批子网站适老化无障碍技术改造试点，完成海关统计数据栏目图像化改造，增</w:t>
      </w:r>
      <w:r>
        <w:rPr>
          <w:rFonts w:ascii="方正仿宋_GBK" w:eastAsia="方正仿宋_GBK" w:cs="Times New Roman" w:hint="eastAsia"/>
          <w:kern w:val="0"/>
          <w:sz w:val="32"/>
          <w:szCs w:val="32"/>
        </w:rPr>
        <w:t>设“小珂说法”“数说海关”等特色专栏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，独立开发的RCEP场景式服务应用获总署门户网站采用部署，并作为优秀案例向国务院推荐，网站建设排名全国前三。</w:t>
      </w:r>
      <w:r>
        <w:rPr>
          <w:rFonts w:ascii="Times New Roman" w:eastAsia="方正仿宋_GBK" w:cs="Times New Roman" w:hAnsi="Times New Roman"/>
          <w:b/>
          <w:bCs/>
          <w:vanish w:val="0"/>
          <w:kern w:val="0"/>
          <w:sz w:val="32"/>
          <w:szCs w:val="32"/>
        </w:rPr>
        <w:t>三是优效率、优服务畅通沟通渠道。</w:t>
      </w:r>
      <w:r>
        <w:rPr>
          <w:rFonts w:ascii="Times New Roman" w:eastAsia="方正仿宋_GBK" w:cs="Times New Roman" w:hAnsi="Times New Roman"/>
          <w:vanish w:val="0"/>
          <w:kern w:val="0"/>
          <w:sz w:val="32"/>
          <w:szCs w:val="32"/>
        </w:rPr>
        <w:t>进一步优化12360微信公众号智能客服，为业务现场增配政务公开智能终端；12360热线接通率保持在99%以上；门户网站答复网友留言211条，答复率100%；两级海关共举办关长接待日51期次；</w:t>
      </w:r>
      <w:r>
        <w:rPr>
          <w:rFonts w:ascii="Times New Roman" w:eastAsia="方正仿宋_GBK" w:cs="Times New Roman" w:hAnsi="Times New Roman"/>
          <w:bCs/>
          <w:kern w:val="0"/>
          <w:sz w:val="32"/>
          <w:szCs w:val="32"/>
        </w:rPr>
        <w:t>督导16</w:t>
      </w:r>
      <w:r>
        <w:rPr>
          <w:rFonts w:ascii="Times New Roman" w:eastAsia="方正仿宋_GBK" w:cs="Times New Roman" w:hAnsi="Times New Roman"/>
          <w:bCs/>
          <w:sz w:val="32"/>
          <w:szCs w:val="32"/>
          <w:shd w:val="clear" w:color="auto" w:fill="FFFFFF"/>
        </w:rPr>
        <w:t>个隶属海关关长全覆盖走进市州党校授课，</w:t>
      </w:r>
      <w:r>
        <w:rPr>
          <w:rFonts w:ascii="Times New Roman" w:eastAsia="方正仿宋_GBK" w:cs="Times New Roman" w:hAnsi="Times New Roman"/>
          <w:bCs/>
          <w:kern w:val="0"/>
          <w:sz w:val="32"/>
          <w:szCs w:val="32"/>
        </w:rPr>
        <w:t>成功举办8期隶属海关关长在线访谈，成为湖</w:t>
      </w:r>
      <w:r>
        <w:rPr>
          <w:rFonts w:ascii="方正仿宋_GBK" w:eastAsia="方正仿宋_GBK" w:cs="Times New Roman" w:hint="eastAsia"/>
          <w:bCs/>
          <w:kern w:val="0"/>
          <w:sz w:val="32"/>
          <w:szCs w:val="32"/>
        </w:rPr>
        <w:t>南省“政务公开主题日”优秀案例，并获湖南省政府网站推介。</w:t>
      </w:r>
    </w:p>
    <w:p>
      <w:pPr>
        <w:pStyle w:val="86"/>
        <w:spacing w:line="560" w:lineRule="exact"/>
        <w:ind w:firstLineChars="200" w:firstLine="640"/>
        <w:rPr>
          <w:rFonts w:ascii="Times New Roman" w:eastAsia="方正楷体_GBK" w:hAnsi="Times New Roman"/>
          <w:kern w:val="0"/>
          <w:sz w:val="32"/>
          <w:szCs w:val="32"/>
        </w:rPr>
      </w:pPr>
      <w:r>
        <w:rPr>
          <w:rFonts w:ascii="Times New Roman" w:eastAsia="方正楷体_GBK" w:hAnsi="Times New Roman"/>
          <w:kern w:val="0"/>
          <w:sz w:val="32"/>
          <w:szCs w:val="32"/>
        </w:rPr>
        <w:t>（二）抓好政务公开两化工作</w:t>
      </w:r>
      <w:r>
        <w:rPr>
          <w:rFonts w:ascii="Times New Roman" w:eastAsia="方正楷体_GBK" w:hAnsi="Times New Roman"/>
          <w:vanish w:val="0"/>
          <w:kern w:val="0"/>
          <w:sz w:val="32"/>
          <w:szCs w:val="32"/>
        </w:rPr>
        <w:t>。</w:t>
      </w:r>
      <w:r>
        <w:rPr>
          <w:rFonts w:ascii="Times New Roman" w:eastAsia="方正仿宋_GBK" w:hAnsi="Times New Roman"/>
          <w:vanish w:val="0"/>
          <w:kern w:val="0"/>
          <w:sz w:val="32"/>
          <w:szCs w:val="32"/>
        </w:rPr>
        <w:t>把基层政务公开“两化”作为系统工程来抓，统一规划进度、统一安排任务、统一设计流程，按照“先试点、后推开”“试点先行、以点带面”有序推进工作开展：</w:t>
      </w:r>
      <w:r>
        <w:rPr>
          <w:rFonts w:ascii="Times New Roman" w:eastAsia="方正仿宋_GBK" w:hAnsi="Times New Roman"/>
          <w:b/>
          <w:bCs/>
          <w:vanish w:val="0"/>
          <w:kern w:val="0"/>
          <w:sz w:val="32"/>
          <w:szCs w:val="32"/>
        </w:rPr>
        <w:t>一是创新“5+4+3”推进体系。</w:t>
      </w:r>
      <w:r>
        <w:rPr>
          <w:rFonts w:ascii="Times New Roman" w:eastAsia="方正仿宋_GBK" w:hAnsi="Times New Roman"/>
          <w:vanish w:val="0"/>
          <w:kern w:val="0"/>
          <w:sz w:val="32"/>
          <w:szCs w:val="32"/>
        </w:rPr>
        <w:t>结合关区实</w:t>
      </w:r>
      <w:r>
        <w:rPr>
          <w:rFonts w:ascii="方正仿宋_GBK" w:eastAsia="方正仿宋_GBK" w:hint="eastAsia"/>
          <w:vanish w:val="0"/>
          <w:kern w:val="0"/>
          <w:sz w:val="32"/>
          <w:szCs w:val="32"/>
        </w:rPr>
        <w:t>际，研究提出</w:t>
      </w:r>
      <w:r>
        <w:rPr>
          <w:rFonts w:ascii="方正仿宋_GBK" w:eastAsia="方正仿宋_GBK" w:hint="eastAsia"/>
          <w:sz w:val="32"/>
          <w:szCs w:val="32"/>
        </w:rPr>
        <w:t>“五统一”“四规范”“三延伸”</w:t>
      </w:r>
      <w:r>
        <w:rPr>
          <w:rFonts w:ascii="方正仿宋_GBK" w:eastAsia="方正仿宋_GBK" w:hint="eastAsia"/>
          <w:vanish w:val="0"/>
          <w:kern w:val="0"/>
          <w:sz w:val="32"/>
          <w:szCs w:val="32"/>
        </w:rPr>
        <w:t>的推</w:t>
      </w:r>
      <w:r>
        <w:rPr>
          <w:rFonts w:ascii="Times New Roman" w:eastAsia="方正仿宋_GBK" w:hAnsi="Times New Roman"/>
          <w:vanish w:val="0"/>
          <w:kern w:val="0"/>
          <w:sz w:val="32"/>
          <w:szCs w:val="32"/>
        </w:rPr>
        <w:t>进体系。</w:t>
      </w:r>
      <w:r>
        <w:rPr>
          <w:rFonts w:ascii="Times New Roman" w:eastAsia="方正仿宋_GBK" w:hAnsi="Times New Roman"/>
          <w:b/>
          <w:bCs/>
          <w:vanish w:val="0"/>
          <w:kern w:val="0"/>
          <w:sz w:val="32"/>
          <w:szCs w:val="32"/>
        </w:rPr>
        <w:t>二是严选试点海关。</w:t>
      </w:r>
      <w:r>
        <w:rPr>
          <w:rFonts w:ascii="Times New Roman" w:eastAsia="方正仿宋_GBK" w:hAnsi="Times New Roman"/>
          <w:vanish w:val="0"/>
          <w:kern w:val="0"/>
          <w:sz w:val="32"/>
          <w:szCs w:val="32"/>
        </w:rPr>
        <w:t>经过2轮调研、征求意见，</w:t>
      </w:r>
      <w:r>
        <w:rPr>
          <w:rFonts w:ascii="Times New Roman" w:eastAsia="方正仿宋_GBK" w:hAnsi="Times New Roman"/>
          <w:sz w:val="32"/>
          <w:szCs w:val="32"/>
        </w:rPr>
        <w:t>选取机场、常德海关先行试点</w:t>
      </w:r>
      <w:r>
        <w:rPr>
          <w:rFonts w:ascii="Times New Roman" w:eastAsia="方正仿宋_GBK" w:hAnsi="Times New Roman"/>
          <w:vanish w:val="0"/>
          <w:kern w:val="0"/>
          <w:sz w:val="32"/>
          <w:szCs w:val="32"/>
        </w:rPr>
        <w:t>，争创全国海关基层政务公开优秀案例和服务品牌。</w:t>
      </w:r>
      <w:r>
        <w:rPr>
          <w:rFonts w:ascii="Times New Roman" w:eastAsia="方正仿宋_GBK" w:hAnsi="Times New Roman"/>
          <w:b/>
          <w:bCs/>
          <w:vanish w:val="0"/>
          <w:kern w:val="0"/>
          <w:sz w:val="32"/>
          <w:szCs w:val="32"/>
        </w:rPr>
        <w:t>三是强化统筹指导。</w:t>
      </w:r>
      <w:r>
        <w:rPr>
          <w:rFonts w:ascii="Times New Roman" w:eastAsia="方正仿宋_GBK" w:hAnsi="Times New Roman"/>
          <w:vanish w:val="0"/>
          <w:kern w:val="0"/>
          <w:sz w:val="32"/>
          <w:szCs w:val="32"/>
        </w:rPr>
        <w:t>开展政务公开专项培训，安排试点海关人员到办公室跟班学习，通过材料申报、组织线上检查、交叉互查的形式组织开展检查，督导试点海关达到验收标准。</w:t>
      </w:r>
    </w:p>
    <w:p>
      <w:pPr>
        <w:pStyle w:val="85"/>
        <w:keepNext w:val="0"/>
        <w:keepLines w:val="0"/>
        <w:pageBreakBefore w:val="0"/>
        <w:widowControl/>
        <w:suppressLineNumbers w:val="0"/>
        <w:shd w:val="clear" w:color="auto" w:fill="FFFFFF"/>
        <w:suppressAutoHyphens w:val="0"/>
        <w:spacing w:line="560" w:lineRule="exact"/>
        <w:ind w:firstLineChars="200" w:firstLine="640"/>
        <w:jc w:val="left"/>
        <w:rPr>
          <w:kern w:val="0"/>
          <w:szCs w:val="32"/>
        </w:rPr>
      </w:pPr>
      <w:r>
        <w:rPr>
          <w:rFonts w:eastAsia="方正楷体_GBK"/>
          <w:b/>
          <w:bCs/>
          <w:kern w:val="0"/>
          <w:szCs w:val="32"/>
        </w:rPr>
        <w:t>（三）持续提升政务公开监督保障能力。</w:t>
      </w:r>
      <w:r>
        <w:rPr>
          <w:kern w:val="0"/>
          <w:szCs w:val="32"/>
        </w:rPr>
        <w:t>以基层政务公开标准化规范化为抓手，抓隶属海关政务公开提</w:t>
      </w:r>
      <w:r>
        <w:rPr>
          <w:rFonts w:hint="eastAsia"/>
          <w:kern w:val="0"/>
          <w:szCs w:val="32"/>
          <w:lang w:val="en-US" w:eastAsia="zh-CN"/>
        </w:rPr>
        <w:t>质</w:t>
      </w:r>
      <w:r>
        <w:rPr>
          <w:kern w:val="0"/>
          <w:szCs w:val="32"/>
        </w:rPr>
        <w:t>增效，条目式列举工作验收标准，逐项制定量化打分标准，组织各隶属海关开展工作自评、交叉互评、上级考评三次考评验收。验收过程中发现的问题及时查缺补漏。通过抽查检查，发出工作建议16条次，督促相关单位及时整改到位，确保建设工作高质量完成。</w:t>
      </w:r>
    </w:p>
    <w:p>
      <w:pPr>
        <w:pStyle w:val="44"/>
        <w:adjustRightInd w:val="0"/>
        <w:snapToGrid w:val="0"/>
        <w:ind w:firstLineChars="200" w:firstLine="624"/>
        <w:rPr>
          <w:rFonts w:eastAsia="方正黑体_GBK"/>
          <w:bCs/>
          <w:szCs w:val="32"/>
          <w:shd w:val="clear" w:color="auto" w:fill="FFFFFF"/>
        </w:rPr>
      </w:pPr>
      <w:r>
        <w:rPr>
          <w:rFonts w:eastAsia="方正黑体_GBK"/>
          <w:bCs/>
          <w:szCs w:val="32"/>
          <w:shd w:val="clear" w:color="auto" w:fill="FFFFFF"/>
        </w:rPr>
        <w:t>二、主动公开政府信息情况</w:t>
      </w:r>
    </w:p>
    <w:p>
      <w:pPr>
        <w:pStyle w:val="20"/>
      </w:pPr>
      <w:bookmarkStart w:id="2" w:name="_GoBack"/>
      <w:bookmarkEnd w:id="2"/>
    </w:p>
    <w:tbl>
      <w:tblPr>
        <w:jc w:val="center"/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1829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278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1"/>
        <w:tabs>
          <w:tab w:val="center" w:pos="4153"/>
          <w:tab w:val="right" w:pos="8306"/>
        </w:tabs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>
        <w:rPr>
          <w:rFonts w:eastAsia="方正黑体_GBK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2"/>
        <w:gridCol w:w="678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</w:tr>
      <w:tr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rPr>
                <w:rFonts w:eastAsia="楷体"/>
                <w:kern w:val="0"/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39"/>
              <w:widowControl/>
              <w:rPr>
                <w:rFonts w:eastAsia="楷体"/>
                <w:kern w:val="0"/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39"/>
              <w:widowControl/>
              <w:rPr>
                <w:rFonts w:eastAsia="楷体"/>
                <w:kern w:val="0"/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39"/>
              <w:widowControl/>
              <w:rPr>
                <w:rFonts w:eastAsia="楷体"/>
                <w:kern w:val="0"/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6</w:t>
            </w:r>
          </w:p>
        </w:tc>
      </w:tr>
      <w:tr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left"/>
            </w:pPr>
            <w:r>
              <w:rPr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Lines="50" w:before="218" w:beforeAutospacing="0" w:after="120" w:afterAutospacing="0"/>
        <w:ind w:firstLineChars="200" w:firstLine="640"/>
        <w:jc w:val="both"/>
        <w:rPr>
          <w:szCs w:val="24"/>
        </w:rPr>
      </w:pPr>
      <w:r>
        <w:rPr>
          <w:rFonts w:eastAsia="方正黑体_GBK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>
        <w:rPr>
          <w:rFonts w:eastAsia="方正黑体_GBK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contextualSpacing/>
        <w:rPr>
          <w:rFonts w:ascii="方正仿宋_GBK" w:hint="eastAsia"/>
          <w:snapToGrid w:val="0"/>
          <w:szCs w:val="32"/>
        </w:rPr>
      </w:pPr>
      <w:r>
        <w:rPr>
          <w:rFonts w:eastAsia="方正楷体_GBK"/>
          <w:b/>
          <w:bCs/>
        </w:rPr>
        <w:t>（一）2021年年报中所提问题整改情况。</w:t>
      </w:r>
      <w:r>
        <w:t>针对2021年存</w:t>
      </w:r>
      <w:r>
        <w:rPr>
          <w:rFonts w:ascii="方正仿宋_GBK" w:hint="eastAsia"/>
        </w:rPr>
        <w:t>在的“</w:t>
      </w:r>
      <w:r>
        <w:rPr>
          <w:rFonts w:ascii="方正仿宋_GBK" w:hint="eastAsia"/>
          <w:snapToGrid w:val="0"/>
          <w:szCs w:val="32"/>
        </w:rPr>
        <w:t>隶属海关政务公开规范化建设还有待提高。对于公开什么、怎么公开缺乏统一的标准，随意性较大”问题，整改情况如下：</w:t>
      </w:r>
    </w:p>
    <w:p>
      <w:pPr>
        <w:pBdr>
          <w:bottom w:val="single" w:sz="4" w:space="31" w:color="FFFFFF"/>
        </w:pBdr>
        <w:adjustRightInd w:val="0"/>
        <w:spacing w:line="560" w:lineRule="exact"/>
        <w:ind w:firstLineChars="200" w:firstLine="624"/>
        <w:contextualSpacing/>
        <w:rPr>
          <w:rFonts w:eastAsia="方正仿宋_GBK"/>
          <w:spacing w:val="-4"/>
          <w:sz w:val="32"/>
          <w:szCs w:val="32"/>
          <w:lang w:val="en-US" w:eastAsia="zh-CN"/>
        </w:rPr>
      </w:pPr>
      <w:r>
        <w:rPr>
          <w:rFonts w:ascii="方正仿宋_GBK" w:hint="eastAsia"/>
          <w:bCs/>
          <w:spacing w:val="-4"/>
          <w:sz w:val="32"/>
          <w:szCs w:val="32"/>
          <w:lang w:val="en-US" w:eastAsia="zh-CN"/>
        </w:rPr>
        <w:t>创新关区</w:t>
      </w:r>
      <w:r>
        <w:rPr>
          <w:rFonts w:ascii="方正仿宋_GBK" w:hint="eastAsia"/>
          <w:sz w:val="32"/>
          <w:szCs w:val="32"/>
        </w:rPr>
        <w:t>“五统一”“四规范”“三延伸”</w:t>
      </w:r>
      <w:r>
        <w:rPr>
          <w:rFonts w:ascii="方正仿宋_GBK" w:hint="eastAsia"/>
          <w:bCs/>
          <w:spacing w:val="-4"/>
          <w:sz w:val="32"/>
          <w:szCs w:val="32"/>
          <w:lang w:val="en-US" w:eastAsia="zh-CN"/>
        </w:rPr>
        <w:t>基层政务公开工作法，</w:t>
      </w:r>
      <w:r>
        <w:rPr>
          <w:rFonts w:ascii="方正仿宋_GBK" w:hint="eastAsia"/>
          <w:sz w:val="32"/>
          <w:szCs w:val="32"/>
        </w:rPr>
        <w:t>选取机场、常德海关先行试点，以点带面</w:t>
      </w:r>
      <w:r>
        <w:rPr>
          <w:rFonts w:ascii="方正仿宋_GBK" w:hint="eastAsia"/>
          <w:bCs/>
          <w:kern w:val="0"/>
          <w:sz w:val="32"/>
          <w:szCs w:val="32"/>
        </w:rPr>
        <w:t>推进基层政务公开标准化规范化建设全覆盖；</w:t>
      </w:r>
      <w:r>
        <w:rPr>
          <w:rFonts w:ascii="方正仿宋_GBK" w:hint="eastAsia"/>
          <w:spacing w:val="-4"/>
          <w:sz w:val="32"/>
          <w:szCs w:val="32"/>
          <w:lang w:val="en-US" w:eastAsia="zh-CN"/>
        </w:rPr>
        <w:t>所有隶属海关均根据自身工作特点编制了本单位的《海关基层政务公开标准目录》，并同步对本单位政务公开平台“家底”进行清理，做到“事项”与“平台”一一对应，有效解决关区各隶属海关政务公开工作意识较弱、能力不足</w:t>
      </w:r>
      <w:r>
        <w:rPr>
          <w:rFonts w:eastAsia="方正仿宋_GBK"/>
          <w:spacing w:val="-4"/>
          <w:sz w:val="32"/>
          <w:szCs w:val="32"/>
          <w:lang w:val="en-US" w:eastAsia="zh-CN"/>
        </w:rPr>
        <w:t>、标准不一、实用性较差等问题。</w:t>
      </w:r>
    </w:p>
    <w:p>
      <w:pPr>
        <w:pStyle w:val="109"/>
        <w:pBdr>
          <w:bottom w:val="single" w:sz="4" w:space="31" w:color="FFFFFF"/>
        </w:pBdr>
        <w:adjustRightInd w:val="0"/>
        <w:spacing w:line="560" w:lineRule="exact"/>
        <w:ind w:firstLineChars="200" w:firstLine="640"/>
        <w:contextualSpacing/>
        <w:rPr>
          <w:rStyle w:val="91Char"/>
          <w:spacing w:val="-4"/>
        </w:rPr>
      </w:pPr>
      <w:r>
        <w:rPr>
          <w:rFonts w:eastAsia="方正楷体_GBK"/>
          <w:b/>
          <w:bCs/>
        </w:rPr>
        <w:t>（二）目前存在问题。</w:t>
      </w:r>
      <w:bookmarkEnd w:id="1"/>
      <w:r>
        <w:rPr>
          <w:szCs w:val="32"/>
        </w:rPr>
        <w:t>政策咨询仅停留在单一回复层面，对群众关注的焦点热点问题分析研判不够。</w:t>
      </w:r>
    </w:p>
    <w:p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contextualSpacing/>
        <w:rPr>
          <w:rFonts w:eastAsia="方正黑体_GBK"/>
          <w:bCs/>
          <w:szCs w:val="32"/>
          <w:shd w:val="clear" w:color="auto" w:fill="FFFFFF"/>
        </w:rPr>
      </w:pPr>
      <w:r>
        <w:rPr>
          <w:rFonts w:eastAsia="方正黑体_GBK"/>
          <w:bCs/>
          <w:szCs w:val="32"/>
          <w:shd w:val="clear" w:color="auto" w:fill="FFFFFF"/>
        </w:rPr>
        <w:t>六、其他需要报告的事项</w:t>
      </w:r>
    </w:p>
    <w:p>
      <w:pPr>
        <w:pBdr>
          <w:bottom w:val="single" w:sz="4" w:space="31" w:color="FFFFFF"/>
        </w:pBdr>
        <w:adjustRightInd w:val="0"/>
        <w:spacing w:line="560" w:lineRule="exact"/>
        <w:ind w:firstLineChars="200" w:firstLine="624"/>
        <w:contextualSpacing/>
      </w:pPr>
      <w:r>
        <w:rPr>
          <w:rStyle w:val="78"/>
          <w:spacing w:val="-4"/>
        </w:rPr>
        <w:t>无。</w:t>
      </w:r>
    </w:p>
    <w:sectPr>
      <w:footerReference w:type="first" r:id="rId2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1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>
    <w:docVars w:name="commondata" w:val="eyJoZGlkIjoiNmRmMjIwYTgwNDkwY2ZlZjIwNzUxMzgyOGVmM2ZjNj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Body Text Indent"/>
    <w:basedOn w:val="0"/>
    <w:pPr>
      <w:spacing w:after="120" w:afterAutospacing="0"/>
      <w:ind w:leftChars="200" w:left="200"/>
    </w:pPr>
  </w:style>
  <w:style w:type="paragraph" w:styleId="16">
    <w:name w:val="Body Text First Indent 2"/>
    <w:basedOn w:val="15"/>
    <w:pPr>
      <w:ind w:firstLineChars="200" w:firstLine="200"/>
    </w:pPr>
  </w:style>
  <w:style w:type="paragraph" w:styleId="17">
    <w:name w:val="List Number 2"/>
    <w:basedOn w:val="0"/>
    <w:pPr>
      <w:tabs>
        <w:tab w:val="left" w:pos="780"/>
      </w:tabs>
      <w:ind w:left="780" w:hanging="360"/>
    </w:pPr>
  </w:style>
  <w:style w:type="paragraph" w:styleId="18">
    <w:name w:val="index 8"/>
    <w:basedOn w:val="0"/>
    <w:next w:val="0"/>
    <w:pPr>
      <w:ind w:left="2940"/>
    </w:pPr>
  </w:style>
  <w:style w:type="paragraph" w:styleId="19">
    <w:name w:val="index 5"/>
    <w:basedOn w:val="0"/>
    <w:next w:val="0"/>
    <w:pPr>
      <w:ind w:left="1680"/>
    </w:pPr>
  </w:style>
  <w:style w:type="paragraph" w:styleId="20">
    <w:name w:val="index 6"/>
    <w:basedOn w:val="0"/>
    <w:next w:val="0"/>
    <w:pPr>
      <w:ind w:left="2100"/>
    </w:pPr>
  </w:style>
  <w:style w:type="paragraph" w:styleId="21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0"/>
    <w:next w:val="0"/>
  </w:style>
  <w:style w:type="paragraph" w:styleId="24">
    <w:name w:val="index 7"/>
    <w:basedOn w:val="0"/>
    <w:next w:val="0"/>
    <w:pPr>
      <w:ind w:left="2520"/>
    </w:pPr>
  </w:style>
  <w:style w:type="paragraph" w:styleId="25">
    <w:name w:val="toc 2"/>
    <w:basedOn w:val="0"/>
    <w:next w:val="0"/>
    <w:pPr>
      <w:ind w:left="420"/>
    </w:pPr>
  </w:style>
  <w:style w:type="paragraph" w:styleId="26">
    <w:name w:val="Normal (Web)"/>
    <w:next w:val="21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character" w:styleId="27">
    <w:name w:val="page number"/>
    <w:basedOn w:val="10"/>
  </w:style>
  <w:style w:type="character" w:styleId="28">
    <w:name w:val="FollowedHyperlink"/>
    <w:basedOn w:val="10"/>
    <w:rPr>
      <w:color w:val="800080"/>
      <w:u w:val="single"/>
    </w:rPr>
  </w:style>
  <w:style w:type="character" w:styleId="29">
    <w:name w:val="footnote reference"/>
    <w:rPr>
      <w:vertAlign w:val="superscript"/>
    </w:rPr>
  </w:style>
  <w:style w:type="paragraph" w:customStyle="1" w:styleId="30">
    <w:name w:val="样式 三号"/>
    <w:next w:val="3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1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2">
    <w:name w:val="正文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正文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正文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正文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6">
    <w:name w:val="正文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正文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9">
    <w:name w:val="样式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">
    <w:name w:val="样式 1 小四"/>
    <w:next w:val="36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1">
    <w:name w:val="样式 6 小四"/>
    <w:next w:val="3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2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3">
    <w:name w:val="样式 12 三号"/>
    <w:next w:val="18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4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5">
    <w:name w:val="样式 13 三号"/>
    <w:next w:val="24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6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7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0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51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2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3">
    <w:name w:val="样式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54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9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60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61">
    <w:name w:val="样式 3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6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customStyle="1" w:styleId="78">
    <w:name w:val="labelstyle3"/>
    <w:basedOn w:val="10"/>
  </w:style>
  <w:style w:type="character" w:customStyle="1" w:styleId="79">
    <w:name w:val="im-content1"/>
    <w:basedOn w:val="10"/>
    <w:rPr>
      <w:color w:val="000000"/>
    </w:rPr>
  </w:style>
  <w:style w:type="paragraph" w:customStyle="1" w:styleId="80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">
    <w:name w:val="样式 124 三号"/>
    <w:pPr>
      <w:widowControl w:val="0"/>
      <w:jc w:val="both"/>
    </w:pPr>
    <w:rPr>
      <w:rFonts w:ascii="Calibri" w:eastAsia="方正仿宋_GBK" w:cs="Times New Roman" w:hAnsi="Calibri"/>
      <w:kern w:val="2"/>
      <w:sz w:val="32"/>
      <w:szCs w:val="22"/>
      <w:lang w:val="en-US" w:eastAsia="zh-CN" w:bidi="ar-SA"/>
    </w:rPr>
  </w:style>
  <w:style w:type="paragraph" w:customStyle="1" w:styleId="83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560" w:lineRule="exact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84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5">
    <w:name w:val="样式 14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0"/>
      <w:w w:val="100"/>
      <w:kern w:val="2"/>
      <w:position w:val="0"/>
      <w:sz w:val="32"/>
      <w:szCs w:val="22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86">
    <w:name w:val="样式 1 10 磅"/>
    <w:next w:val="22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87">
    <w:name w:val="样式 小五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18"/>
      <w:szCs w:val="18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88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9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2"/>
    <w:next w:val="91"/>
    <w:rPr>
      <w:rFonts w:ascii="Times New Roman" w:eastAsia="宋体" w:cs="Times New Roman" w:hAnsi="Times New Roman"/>
      <w:vertAlign w:val="superscript"/>
      <w:lang w:val="en-US" w:eastAsia="zh-CN" w:bidi="ar-SA"/>
    </w:rPr>
  </w:style>
  <w:style w:type="paragraph" w:customStyle="1" w:styleId="91">
    <w:name w:val="样式 2 "/>
    <w:link w:val="91Char"/>
    <w:rPr>
      <w:rFonts w:ascii="Times New Roman" w:eastAsia="宋体" w:cs="Times New Roman" w:hAnsi="Times New Roman"/>
      <w:lang w:val="en-US" w:eastAsia="zh-CN" w:bidi="ar-SA"/>
    </w:rPr>
  </w:style>
  <w:style w:type="character" w:customStyle="1" w:styleId="91Char">
    <w:name w:val="样式 2  Char"/>
    <w:basedOn w:val="10"/>
    <w:link w:val="91"/>
    <w:rPr>
      <w:rFonts w:ascii="Times New Roman" w:eastAsia="宋体" w:cs="Times New Roman" w:hAnsi="Times New Roman"/>
      <w:lang w:val="en-US" w:eastAsia="zh-CN" w:bidi="ar-SA"/>
    </w:rPr>
  </w:style>
  <w:style w:type="paragraph" w:customStyle="1" w:styleId="92">
    <w:name w:val="样式 2 小五"/>
    <w:pPr>
      <w:widowControl w:val="0"/>
      <w:snapToGrid w:val="0"/>
    </w:pPr>
    <w:rPr>
      <w:rFonts w:ascii="Calibri" w:eastAsia="宋体" w:cs="Times New Roman" w:hAnsi="Calibri"/>
      <w:kern w:val="2"/>
      <w:sz w:val="18"/>
      <w:szCs w:val="18"/>
      <w:lang w:val="en-US" w:eastAsia="zh-CN" w:bidi="ar-SA"/>
    </w:rPr>
  </w:style>
  <w:style w:type="paragraph" w:customStyle="1" w:styleId="93">
    <w:name w:val="样式 16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0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94">
    <w:name w:val="样式 17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0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95">
    <w:name w:val="样式 "/>
    <w:rPr>
      <w:rFonts w:ascii="Times New Roman" w:eastAsia="宋体" w:cs="Times New Roman" w:hAnsi="Times New Roman"/>
      <w:vertAlign w:val="superscript"/>
      <w:lang w:val="en-US" w:eastAsia="zh-CN" w:bidi="ar-SA"/>
    </w:rPr>
  </w:style>
  <w:style w:type="paragraph" w:customStyle="1" w:styleId="96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1 小五"/>
    <w:pPr>
      <w:widowControl w:val="0"/>
      <w:snapToGrid w:val="0"/>
    </w:pPr>
    <w:rPr>
      <w:rFonts w:ascii="Calibri" w:eastAsia="宋体" w:cs="Times New Roman" w:hAnsi="Calibri"/>
      <w:kern w:val="2"/>
      <w:sz w:val="18"/>
      <w:szCs w:val="18"/>
      <w:lang w:val="en-US" w:eastAsia="zh-CN" w:bidi="ar-SA"/>
    </w:rPr>
  </w:style>
  <w:style w:type="paragraph" w:customStyle="1" w:styleId="98">
    <w:name w:val="样式 1 "/>
    <w:rPr>
      <w:rFonts w:ascii="Times New Roman" w:eastAsia="宋体" w:cs="Times New Roman" w:hAnsi="Times New Roman"/>
      <w:vertAlign w:val="superscript"/>
      <w:lang w:val="en-US" w:eastAsia="zh-CN" w:bidi="ar-SA"/>
    </w:rPr>
  </w:style>
  <w:style w:type="paragraph" w:customStyle="1" w:styleId="99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">
    <w:name w:val="样式 3 小五"/>
    <w:pPr>
      <w:widowControl w:val="0"/>
      <w:snapToGrid w:val="0"/>
    </w:pPr>
    <w:rPr>
      <w:rFonts w:ascii="Calibri" w:eastAsia="宋体" w:cs="Times New Roman" w:hAnsi="Calibri"/>
      <w:kern w:val="2"/>
      <w:sz w:val="18"/>
      <w:szCs w:val="18"/>
      <w:lang w:val="en-US" w:eastAsia="zh-CN" w:bidi="ar-SA"/>
    </w:rPr>
  </w:style>
  <w:style w:type="paragraph" w:customStyle="1" w:styleId="101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">
    <w:name w:val="样式 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3">
    <w:name w:val="样式 19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0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10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">
    <w:name w:val="样式 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10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632</TotalTime>
  <Application>Yozo_Office</Application>
  <Pages>6</Pages>
  <Words>2264</Words>
  <Characters>2340</Characters>
  <Lines>434</Lines>
  <Paragraphs>303</Paragraphs>
  <CharactersWithSpaces>2340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苏立</cp:lastModifiedBy>
  <cp:revision>40</cp:revision>
  <cp:lastPrinted>2021-11-30T07:27:00Z</cp:lastPrinted>
  <dcterms:created xsi:type="dcterms:W3CDTF">2022-01-21T07:22:00Z</dcterms:created>
  <dcterms:modified xsi:type="dcterms:W3CDTF">2024-03-12T06:55:34Z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2052-11.1.0.14309</vt:lpwstr>
  </property>
  <property fmtid="{D5CDD505-2E9C-101B-9397-08002B2CF9AE}" pid="3" name="ICV">
    <vt:lpwstr>F31C0B94D5B9410ABEDAF1C257ABD40C_12</vt:lpwstr>
  </property>
</Properties>
</file>